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footer6.xml" ContentType="application/vnd.openxmlformats-officedocument.wordprocessingml.footer+xml"/>
  <Override PartName="/word/styles.xml" ContentType="application/vnd.openxmlformats-officedocument.wordprocessingml.styles+xml"/>
  <Override PartName="/word/footer1.xml" ContentType="application/vnd.openxmlformats-officedocument.wordprocessingml.footer+xml"/>
  <Override PartName="/word/header5.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6926" w:leader="none"/>
        </w:tabs>
        <w:jc w:val="center"/>
        <w:rPr>
          <w:b/>
          <w:sz w:val="24"/>
          <w:szCs w:val="24"/>
        </w:rPr>
      </w:pPr>
      <w:r>
        <w:rPr>
          <w:b/>
          <w:bCs/>
          <w:sz w:val="24"/>
          <w:szCs w:val="24"/>
        </w:rPr>
        <w:t>Договор поставки № 8-ТПиР-ОНМ-2026-ЖиГЭС</w:t>
      </w:r>
    </w:p>
    <w:p>
      <w:pPr>
        <w:pStyle w:val="Normal"/>
        <w:shd w:val="clear" w:color="auto" w:fill="FFFFFF"/>
        <w:rPr>
          <w:b/>
          <w:bCs/>
          <w:sz w:val="24"/>
          <w:szCs w:val="24"/>
        </w:rPr>
      </w:pPr>
      <w:r>
        <w:rPr>
          <w:b/>
          <w:bCs/>
          <w:sz w:val="24"/>
          <w:szCs w:val="24"/>
        </w:rPr>
      </w:r>
    </w:p>
    <w:p>
      <w:pPr>
        <w:pStyle w:val="Normal"/>
        <w:shd w:val="clear" w:color="auto" w:fill="FFFFFF"/>
        <w:tabs>
          <w:tab w:val="clear" w:pos="709"/>
          <w:tab w:val="right" w:pos="9639" w:leader="none"/>
        </w:tabs>
        <w:jc w:val="right"/>
        <w:rPr>
          <w:bCs/>
          <w:sz w:val="24"/>
          <w:szCs w:val="24"/>
        </w:rPr>
      </w:pPr>
      <w:r>
        <w:rPr>
          <w:bCs/>
          <w:sz w:val="24"/>
          <w:szCs w:val="24"/>
        </w:rPr>
        <w:t>г. Жигулевск</w:t>
        <w:tab/>
        <w:t xml:space="preserve">   «___» _________ 2026 г.</w:t>
      </w:r>
    </w:p>
    <w:p>
      <w:pPr>
        <w:pStyle w:val="Normal"/>
        <w:shd w:val="clear" w:color="auto" w:fill="FFFFFF"/>
        <w:tabs>
          <w:tab w:val="clear" w:pos="709"/>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w:t>
        <w:br/>
        <w:t xml:space="preserve">компания – РусГидро» </w:t>
      </w:r>
      <w:r>
        <w:rPr>
          <w:sz w:val="24"/>
          <w:szCs w:val="24"/>
        </w:rPr>
        <w:t>(ПАО «РусГидро»)</w:t>
      </w:r>
      <w:r>
        <w:rPr>
          <w:spacing w:val="2"/>
          <w:sz w:val="24"/>
          <w:szCs w:val="24"/>
        </w:rPr>
        <w:t xml:space="preserve"> (далее – </w:t>
      </w:r>
      <w:r>
        <w:rPr>
          <w:sz w:val="24"/>
          <w:szCs w:val="24"/>
        </w:rPr>
        <w:t>«Покупатель»), в лице ____________</w:t>
      </w:r>
      <w:r>
        <w:rPr>
          <w:spacing w:val="4"/>
          <w:sz w:val="24"/>
          <w:szCs w:val="24"/>
        </w:rPr>
        <w:t>, действующего на основании доверенности_</w:t>
      </w:r>
      <w:r>
        <w:rPr>
          <w:spacing w:val="4"/>
          <w:sz w:val="24"/>
          <w:szCs w:val="24"/>
          <w:u w:val="single"/>
        </w:rPr>
        <w:t>__________</w:t>
      </w:r>
      <w:r>
        <w:rPr>
          <w:spacing w:val="4"/>
          <w:sz w:val="24"/>
          <w:szCs w:val="24"/>
        </w:rPr>
        <w:t xml:space="preserve">, с одной стороны, </w:t>
        <w:br/>
        <w:t>и</w:t>
      </w:r>
      <w:r>
        <w:rPr>
          <w:spacing w:val="10"/>
          <w:sz w:val="24"/>
          <w:szCs w:val="24"/>
        </w:rPr>
        <w:t xml:space="preserve"> </w:t>
      </w:r>
      <w:r>
        <w:rPr>
          <w:b/>
          <w:spacing w:val="10"/>
          <w:sz w:val="24"/>
          <w:szCs w:val="24"/>
        </w:rPr>
        <w:t>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ind w:firstLine="709"/>
        <w:jc w:val="both"/>
        <w:rPr>
          <w:spacing w:val="10"/>
          <w:sz w:val="24"/>
          <w:szCs w:val="24"/>
        </w:rPr>
      </w:pPr>
      <w:r>
        <w:rPr>
          <w:sz w:val="24"/>
          <w:szCs w:val="24"/>
        </w:rPr>
        <w:t xml:space="preserve">совместно в дальнейшем именуемые «Стороны», а по отдельности – «Сторона», </w:t>
        <w:br/>
      </w:r>
      <w:r>
        <w:rPr>
          <w:b/>
          <w:sz w:val="24"/>
          <w:szCs w:val="24"/>
          <w:lang w:eastAsia="en-US"/>
        </w:rPr>
        <w:t>по результатам проведенного Покупателем состязательного отбора среди СМП по лоту № 8-ТПиР-ОНМ-2026-ЖиГЭС</w:t>
      </w:r>
      <w:r>
        <w:rPr>
          <w:sz w:val="24"/>
          <w:szCs w:val="24"/>
          <w:lang w:eastAsia="en-US"/>
        </w:rPr>
        <w:t xml:space="preserve"> и на основании протокола ______ от</w:t>
      </w:r>
      <w:r>
        <w:rPr/>
        <w:t xml:space="preserve"> </w:t>
      </w:r>
      <w:r>
        <w:rPr>
          <w:sz w:val="24"/>
          <w:szCs w:val="24"/>
          <w:lang w:eastAsia="en-US"/>
        </w:rPr>
        <w:t xml:space="preserve">_________  № ______, </w:t>
      </w: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9"/>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9"/>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 xml:space="preserve">от 25.12.1998 № 132, подписываемый Сторонами после завершения приемки Товара </w:t>
        <w:br/>
        <w:t>по количеству, качеству и комплектности.</w:t>
      </w:r>
    </w:p>
    <w:p>
      <w:pPr>
        <w:pStyle w:val="ListParagraph"/>
        <w:shd w:val="clear" w:color="auto" w:fill="FFFFFF"/>
        <w:tabs>
          <w:tab w:val="clear" w:pos="709"/>
          <w:tab w:val="left" w:pos="0" w:leader="none"/>
        </w:tabs>
        <w:ind w:left="0" w:firstLine="709"/>
        <w:jc w:val="both"/>
        <w:textAlignment w:val="baseline"/>
        <w:rPr>
          <w:b/>
          <w:sz w:val="24"/>
          <w:szCs w:val="24"/>
          <w:lang w:eastAsia="en-US"/>
        </w:rPr>
      </w:pPr>
      <w:r>
        <w:rPr>
          <w:b/>
          <w:bCs/>
          <w:sz w:val="24"/>
          <w:szCs w:val="24"/>
        </w:rPr>
        <w:t>«Национальный режим»</w:t>
      </w:r>
      <w:r>
        <w:rPr>
          <w:bCs/>
          <w:sz w:val="24"/>
          <w:szCs w:val="24"/>
        </w:rPr>
        <w:t xml:space="preserve"> -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r>
        <w:rPr>
          <w:b/>
          <w:sz w:val="24"/>
          <w:szCs w:val="24"/>
          <w:lang w:eastAsia="en-US"/>
        </w:rPr>
        <w:t xml:space="preserve"> </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(далее – ГК РФ) в случаях, установленных Договором. </w:t>
      </w:r>
    </w:p>
    <w:p>
      <w:pPr>
        <w:pStyle w:val="Heading3"/>
        <w:keepNext w:val="false"/>
        <w:tabs>
          <w:tab w:val="clear" w:pos="709"/>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9"/>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«Универсальный передаточный документ (УПД) – </w:t>
      </w:r>
      <w:r>
        <w:rPr>
          <w:rFonts w:ascii="Times New Roman" w:hAnsi="Times New Roman"/>
          <w:b w:val="false"/>
          <w:bCs w:val="false"/>
          <w:color w:val="auto"/>
          <w:sz w:val="24"/>
          <w:szCs w:val="24"/>
          <w:lang w:val="ru-RU" w:eastAsia="en-US"/>
        </w:rPr>
        <w:t>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Heading3"/>
        <w:tabs>
          <w:tab w:val="clear" w:pos="709"/>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w:t>
        <w:br/>
        <w:t xml:space="preserve">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9"/>
          <w:tab w:val="left" w:pos="710" w:leader="none"/>
        </w:tabs>
        <w:ind w:left="0" w:firstLine="852"/>
        <w:jc w:val="both"/>
        <w:rPr>
          <w:bCs/>
          <w:sz w:val="24"/>
          <w:szCs w:val="24"/>
        </w:rPr>
      </w:pPr>
      <w:r>
        <w:rPr>
          <w:bCs/>
          <w:sz w:val="24"/>
          <w:szCs w:val="24"/>
        </w:rPr>
        <w:t xml:space="preserve">Поставщик обязуется в порядке и сроки, установленные Договором, передать </w:t>
        <w:br/>
        <w:t>в собственность Покупателю</w:t>
      </w:r>
      <w:r>
        <w:rPr>
          <w:rFonts w:eastAsia="Calibri"/>
          <w:bCs/>
          <w:sz w:val="24"/>
          <w:szCs w:val="24"/>
          <w:lang w:eastAsia="en-US"/>
        </w:rPr>
        <w:t xml:space="preserve"> </w:t>
      </w:r>
      <w:r>
        <w:rPr>
          <w:b/>
          <w:bCs/>
          <w:sz w:val="24"/>
          <w:szCs w:val="24"/>
        </w:rPr>
        <w:t>ОКПД2 26.51.53.190. Поставка титратора потенциометрического автоматического (1 шт.) для нужд Филиала ПАО "РусГидро" - "Жигулевская ГЭС" (далее – «Товар»)</w:t>
      </w:r>
      <w:r>
        <w:rPr>
          <w:bCs/>
          <w:sz w:val="24"/>
          <w:szCs w:val="24"/>
        </w:rPr>
        <w:t xml:space="preserve">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ListParagraph"/>
        <w:numPr>
          <w:ilvl w:val="1"/>
          <w:numId w:val="2"/>
        </w:numPr>
        <w:tabs>
          <w:tab w:val="clear" w:pos="709"/>
          <w:tab w:val="left" w:pos="1134" w:leader="none"/>
        </w:tabs>
        <w:ind w:left="0" w:firstLine="709"/>
        <w:rPr>
          <w:bCs/>
          <w:sz w:val="24"/>
          <w:szCs w:val="24"/>
        </w:rPr>
      </w:pPr>
      <w:r>
        <w:rPr>
          <w:bCs/>
          <w:sz w:val="24"/>
          <w:szCs w:val="24"/>
        </w:rPr>
        <w:t>Поставка Товара по Договору осуществляется для нужд для нужд Филиала ПАО «РусГидро»-«Жигулёвская ГЭС».</w:t>
      </w:r>
    </w:p>
    <w:p>
      <w:pPr>
        <w:pStyle w:val="Normal"/>
        <w:numPr>
          <w:ilvl w:val="1"/>
          <w:numId w:val="2"/>
        </w:numPr>
        <w:shd w:val="clear" w:color="auto" w:fill="FFFFFF"/>
        <w:tabs>
          <w:tab w:val="clear" w:pos="709"/>
          <w:tab w:val="left" w:pos="1134" w:leader="none"/>
        </w:tabs>
        <w:ind w:left="0" w:firstLine="709"/>
        <w:jc w:val="both"/>
        <w:rPr>
          <w:sz w:val="24"/>
          <w:szCs w:val="24"/>
        </w:rPr>
      </w:pPr>
      <w:r>
        <w:rPr>
          <w:bCs/>
          <w:sz w:val="24"/>
          <w:szCs w:val="24"/>
        </w:rPr>
        <w:t xml:space="preserve">Место поставки Товара: </w:t>
      </w:r>
      <w:r>
        <w:rPr>
          <w:sz w:val="24"/>
          <w:szCs w:val="24"/>
        </w:rPr>
        <w:t>445350, РФ, Самарская область, г. Жигулёвск, Московское шоссе, д. 2, склад Покупателя (далее – «Место поставки»).</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 xml:space="preserve">Срок поставки Товара: </w:t>
      </w:r>
    </w:p>
    <w:p>
      <w:pPr>
        <w:pStyle w:val="ListParagraph"/>
        <w:numPr>
          <w:ilvl w:val="2"/>
          <w:numId w:val="2"/>
        </w:numPr>
        <w:ind w:left="1418" w:hanging="709"/>
        <w:jc w:val="both"/>
        <w:rPr>
          <w:sz w:val="24"/>
          <w:szCs w:val="24"/>
          <w:lang w:eastAsia="en-US"/>
        </w:rPr>
      </w:pPr>
      <w:r>
        <w:rPr>
          <w:sz w:val="24"/>
          <w:szCs w:val="24"/>
          <w:lang w:eastAsia="en-US"/>
        </w:rPr>
        <w:t>Начало – С даты заключения Договора (плановая дата 01.07.2026).</w:t>
      </w:r>
    </w:p>
    <w:p>
      <w:pPr>
        <w:pStyle w:val="ListParagraph"/>
        <w:numPr>
          <w:ilvl w:val="2"/>
          <w:numId w:val="2"/>
        </w:numPr>
        <w:tabs>
          <w:tab w:val="clear" w:pos="709"/>
          <w:tab w:val="left" w:pos="1418" w:leader="none"/>
        </w:tabs>
        <w:ind w:left="0" w:firstLine="709"/>
        <w:jc w:val="both"/>
        <w:rPr>
          <w:sz w:val="24"/>
          <w:szCs w:val="24"/>
          <w:lang w:eastAsia="en-US"/>
        </w:rPr>
      </w:pPr>
      <w:r>
        <w:rPr>
          <w:sz w:val="24"/>
          <w:szCs w:val="24"/>
          <w:lang w:eastAsia="en-US"/>
        </w:rPr>
        <w:t>Окончание – В течении 5 месяцев с даты заключения Договора (плановая дата 30.11.2026)</w:t>
      </w:r>
      <w:r>
        <w:rPr>
          <w:sz w:val="24"/>
          <w:szCs w:val="24"/>
        </w:rPr>
        <w:t>.</w:t>
      </w:r>
      <w:r>
        <w:rPr>
          <w:sz w:val="24"/>
          <w:szCs w:val="24"/>
          <w:lang w:eastAsia="en-US"/>
        </w:rPr>
        <w:t xml:space="preserve"> </w:t>
      </w:r>
    </w:p>
    <w:p>
      <w:pPr>
        <w:pStyle w:val="Normal"/>
        <w:shd w:val="clear" w:color="auto" w:fill="FFFFFF"/>
        <w:tabs>
          <w:tab w:val="clear" w:pos="709"/>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w:t>
      </w:r>
      <w:r>
        <w:rPr>
          <w:bCs/>
          <w:sz w:val="24"/>
          <w:szCs w:val="24"/>
          <w:highlight w:val="lightGray"/>
        </w:rPr>
        <w:t>твердой</w:t>
      </w:r>
      <w:r>
        <w:rPr>
          <w:bCs/>
          <w:sz w:val="24"/>
          <w:szCs w:val="24"/>
        </w:rPr>
        <w:t xml:space="preserve"> и составляет </w:t>
      </w:r>
      <w:r>
        <w:rPr>
          <w:sz w:val="24"/>
          <w:szCs w:val="24"/>
          <w:highlight w:val="lightGray"/>
        </w:rPr>
        <w:t>_______</w:t>
      </w:r>
      <w:r>
        <w:rPr>
          <w:bCs/>
          <w:sz w:val="24"/>
          <w:szCs w:val="24"/>
        </w:rPr>
        <w:t xml:space="preserve"> (</w:t>
      </w:r>
      <w:r>
        <w:rPr>
          <w:sz w:val="24"/>
          <w:szCs w:val="24"/>
          <w:highlight w:val="lightGray"/>
        </w:rPr>
        <w:t>__________________</w:t>
      </w:r>
      <w:r>
        <w:rPr>
          <w:bCs/>
          <w:sz w:val="24"/>
          <w:szCs w:val="24"/>
          <w:highlight w:val="lightGray"/>
        </w:rPr>
        <w:t>)</w:t>
      </w:r>
      <w:r>
        <w:rPr>
          <w:bCs/>
          <w:sz w:val="24"/>
          <w:szCs w:val="24"/>
        </w:rPr>
        <w:t xml:space="preserve"> рублей </w:t>
      </w:r>
      <w:r>
        <w:rPr>
          <w:sz w:val="24"/>
          <w:szCs w:val="24"/>
          <w:highlight w:val="lightGray"/>
        </w:rPr>
        <w:t>___</w:t>
      </w:r>
      <w:r>
        <w:rPr>
          <w:bCs/>
          <w:sz w:val="24"/>
          <w:szCs w:val="24"/>
        </w:rPr>
        <w:t xml:space="preserve"> копеек без учета НДС, при этом НДС исчисляется дополнительно по ставке, установленной ст. 164 Налогового кодекса Российской Федерации.</w:t>
      </w:r>
    </w:p>
    <w:p>
      <w:pPr>
        <w:pStyle w:val="Norma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w:t>
        <w:br/>
        <w:t xml:space="preserve">и затраты Поставщика на: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10"/>
        </w:numPr>
        <w:shd w:val="clear" w:color="auto" w:fill="FFFFFF"/>
        <w:tabs>
          <w:tab w:val="clear" w:pos="709"/>
          <w:tab w:val="left" w:pos="1418" w:leader="none"/>
        </w:tabs>
        <w:ind w:left="0" w:firstLine="709"/>
        <w:jc w:val="both"/>
        <w:rPr>
          <w:bCs/>
          <w:sz w:val="24"/>
          <w:szCs w:val="24"/>
        </w:rPr>
      </w:pPr>
      <w:r>
        <w:rPr>
          <w:bCs/>
          <w:sz w:val="24"/>
          <w:szCs w:val="24"/>
        </w:rPr>
        <w:t>Транспортировку Товара до Места поставки, погрузку, разгрузку, перемещение по территории Покупателя</w:t>
      </w:r>
      <w:r>
        <w:rPr>
          <w:rStyle w:val="FootnoteReference"/>
        </w:rPr>
        <w:footnoteReference w:id="2"/>
      </w:r>
      <w:r>
        <w:rPr>
          <w:bCs/>
          <w:sz w:val="24"/>
          <w:szCs w:val="24"/>
        </w:rPr>
        <w:t xml:space="preserve">,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w:t>
        <w:br/>
        <w:t xml:space="preserve">и размещение персонала Поставщика.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w:t>
        <w:b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9"/>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9"/>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rPr>
      </w:pPr>
      <w:r>
        <w:rPr>
          <w:sz w:val="24"/>
        </w:rPr>
        <w:t>Авансовый платеж в размере 30 (тридцати) процентов от стоимости Товара при условии получения Покупателем уведомления от Поставщика о начале изготовления Товара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начала изготовления Товара, и с учетом пункта 2.4.3 Договора.</w:t>
      </w:r>
    </w:p>
    <w:p>
      <w:pPr>
        <w:pStyle w:val="ListParagraph"/>
        <w:numPr>
          <w:ilvl w:val="2"/>
          <w:numId w:val="2"/>
        </w:numPr>
        <w:ind w:left="0" w:firstLine="709"/>
        <w:jc w:val="both"/>
        <w:rPr>
          <w:sz w:val="24"/>
        </w:rPr>
      </w:pPr>
      <w:r>
        <w:rPr>
          <w:sz w:val="24"/>
        </w:rPr>
        <w:t xml:space="preserve">Окончательный платеж в размере 70 (семидесяти) процентов от стоимости Товара выплачивается Поставщику в течение 7 (семи) рабочих дней с даты подписания Сторонами </w:t>
      </w:r>
      <w:r>
        <w:rPr>
          <w:sz w:val="24"/>
        </w:rPr>
        <w:t xml:space="preserve">товарной </w:t>
      </w:r>
      <w:r>
        <w:rPr>
          <w:sz w:val="24"/>
        </w:rPr>
        <w:t xml:space="preserve">накладной ТОРГ-12 / </w:t>
      </w:r>
      <w:r>
        <w:rPr>
          <w:sz w:val="24"/>
        </w:rPr>
        <w:t xml:space="preserve">УПД </w:t>
      </w:r>
      <w:r>
        <w:rPr>
          <w:sz w:val="24"/>
        </w:rPr>
        <w:t>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Поставщик обязан представить Покупателю счет-фактур</w:t>
      </w:r>
      <w:r>
        <w:rPr>
          <w:sz w:val="24"/>
          <w:szCs w:val="24"/>
        </w:rPr>
        <w:t>у</w:t>
      </w:r>
      <w:r>
        <w:rPr>
          <w:sz w:val="24"/>
          <w:szCs w:val="24"/>
        </w:rPr>
        <w:t xml:space="preserve"> </w:t>
      </w:r>
      <w:r>
        <w:rPr>
          <w:sz w:val="24"/>
          <w:szCs w:val="24"/>
        </w:rPr>
        <w:t>(УПД)</w:t>
      </w:r>
      <w:r>
        <w:rPr>
          <w:sz w:val="24"/>
          <w:szCs w:val="24"/>
        </w:rPr>
        <w:t>, выставленны</w:t>
      </w:r>
      <w:r>
        <w:rPr>
          <w:sz w:val="24"/>
          <w:szCs w:val="24"/>
        </w:rPr>
        <w:t>й</w:t>
      </w:r>
      <w:r>
        <w:rPr>
          <w:sz w:val="24"/>
          <w:szCs w:val="24"/>
        </w:rPr>
        <w:t xml:space="preserve"> в сроки и оформленные в порядке, установленном законодательством Российской Федерации. </w:t>
      </w:r>
    </w:p>
    <w:p>
      <w:pPr>
        <w:pStyle w:val="Normal"/>
        <w:widowControl w:val="false"/>
        <w:numPr>
          <w:ilvl w:val="0"/>
          <w:numId w:val="0"/>
        </w:numPr>
        <w:shd w:val="clear" w:color="auto" w:fill="FFFFFF"/>
        <w:tabs>
          <w:tab w:val="clear" w:pos="709"/>
          <w:tab w:val="left" w:pos="567" w:leader="none"/>
          <w:tab w:val="left" w:pos="716" w:leader="none"/>
          <w:tab w:val="left" w:pos="1134" w:leader="none"/>
        </w:tabs>
        <w:suppressAutoHyphens w:val="true"/>
        <w:bidi w:val="0"/>
        <w:spacing w:before="0" w:after="0"/>
        <w:ind w:left="567" w:right="0" w:hanging="0"/>
        <w:jc w:val="both"/>
        <w:rPr>
          <w:sz w:val="24"/>
          <w:szCs w:val="24"/>
        </w:rPr>
      </w:pPr>
      <w:r>
        <w:rPr>
          <w:sz w:val="24"/>
          <w:szCs w:val="24"/>
        </w:rPr>
        <w:t xml:space="preserve">В случае нарушения Поставщиком данного требования, он обязан произвести замену </w:t>
      </w:r>
    </w:p>
    <w:p>
      <w:pPr>
        <w:pStyle w:val="Normal"/>
        <w:widowControl w:val="false"/>
        <w:numPr>
          <w:ilvl w:val="0"/>
          <w:numId w:val="0"/>
        </w:numPr>
        <w:shd w:val="clear" w:color="auto" w:fill="FFFFFF"/>
        <w:tabs>
          <w:tab w:val="clear" w:pos="709"/>
          <w:tab w:val="left" w:pos="567" w:leader="none"/>
          <w:tab w:val="left" w:pos="716" w:leader="none"/>
          <w:tab w:val="left" w:pos="1134" w:leader="none"/>
        </w:tabs>
        <w:suppressAutoHyphens w:val="true"/>
        <w:bidi w:val="0"/>
        <w:spacing w:before="0" w:after="0"/>
        <w:ind w:left="0" w:right="0" w:hanging="0"/>
        <w:jc w:val="both"/>
        <w:rPr>
          <w:sz w:val="24"/>
          <w:szCs w:val="24"/>
        </w:rPr>
      </w:pPr>
      <w:r>
        <w:rPr>
          <w:sz w:val="24"/>
          <w:szCs w:val="24"/>
        </w:rPr>
        <w:t xml:space="preserve">счета-фактуры </w:t>
      </w:r>
      <w:r>
        <w:rPr>
          <w:sz w:val="24"/>
          <w:szCs w:val="24"/>
        </w:rPr>
        <w:t xml:space="preserve">(УПД) </w:t>
      </w:r>
      <w:r>
        <w:rPr>
          <w:sz w:val="24"/>
          <w:szCs w:val="24"/>
        </w:rPr>
        <w:t xml:space="preserve">в течение 3 (трех) рабочих дней с даты получения соответствующего письменного требования Покупателя. </w:t>
      </w:r>
    </w:p>
    <w:p>
      <w:pPr>
        <w:pStyle w:val="Normal"/>
        <w:widowControl w:val="false"/>
        <w:numPr>
          <w:ilvl w:val="0"/>
          <w:numId w:val="0"/>
        </w:numPr>
        <w:shd w:val="clear" w:color="auto" w:fill="FFFFFF"/>
        <w:tabs>
          <w:tab w:val="clear" w:pos="709"/>
          <w:tab w:val="left" w:pos="617" w:leader="none"/>
          <w:tab w:val="left" w:pos="716" w:leader="none"/>
          <w:tab w:val="left" w:pos="1134" w:leader="none"/>
        </w:tabs>
        <w:suppressAutoHyphens w:val="true"/>
        <w:bidi w:val="0"/>
        <w:spacing w:before="0" w:after="0"/>
        <w:ind w:left="624" w:right="0" w:hanging="0"/>
        <w:jc w:val="both"/>
        <w:rPr>
          <w:sz w:val="24"/>
          <w:szCs w:val="24"/>
        </w:rPr>
      </w:pPr>
      <w:r>
        <w:rPr>
          <w:sz w:val="24"/>
          <w:szCs w:val="24"/>
        </w:rPr>
        <w:t>В случае непредставления Поставщиком в течение 5 (пяти) календарных дней с даты</w:t>
      </w:r>
    </w:p>
    <w:p>
      <w:pPr>
        <w:pStyle w:val="Normal"/>
        <w:widowControl w:val="false"/>
        <w:numPr>
          <w:ilvl w:val="0"/>
          <w:numId w:val="0"/>
        </w:numPr>
        <w:shd w:val="clear" w:color="auto" w:fill="FFFFFF"/>
        <w:tabs>
          <w:tab w:val="clear" w:pos="709"/>
          <w:tab w:val="left" w:pos="617" w:leader="none"/>
          <w:tab w:val="left" w:pos="716" w:leader="none"/>
          <w:tab w:val="left" w:pos="1134" w:leader="none"/>
        </w:tabs>
        <w:suppressAutoHyphens w:val="true"/>
        <w:bidi w:val="0"/>
        <w:spacing w:before="0" w:after="0"/>
        <w:ind w:left="0" w:right="0" w:hanging="0"/>
        <w:jc w:val="both"/>
        <w:rPr>
          <w:sz w:val="24"/>
          <w:szCs w:val="24"/>
        </w:rPr>
      </w:pPr>
      <w:r>
        <w:rPr>
          <w:sz w:val="24"/>
          <w:szCs w:val="24"/>
        </w:rPr>
        <w:t xml:space="preserve">получения авансового платежа счета-фактуры </w:t>
      </w:r>
      <w:r>
        <w:rPr>
          <w:sz w:val="24"/>
          <w:szCs w:val="24"/>
        </w:rPr>
        <w:t>(УПД)</w:t>
      </w:r>
      <w:r>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9"/>
          <w:tab w:val="left" w:pos="1134" w:leader="none"/>
        </w:tabs>
        <w:ind w:left="0" w:firstLine="709"/>
        <w:jc w:val="both"/>
        <w:rPr>
          <w:sz w:val="24"/>
          <w:szCs w:val="24"/>
        </w:rPr>
      </w:pPr>
      <w:r>
        <w:rPr>
          <w:sz w:val="24"/>
          <w:szCs w:val="24"/>
        </w:rPr>
        <w:t xml:space="preserve">Поставщик обязан подписать акты сверки взаимных расчетов, направленные Покупателем в 2 (двух) экземплярах, и вернуть 1 (один) экземпляр Покупателю в течение </w:t>
        <w:br/>
        <w:t>5 (пяти) рабочих дней с даты получения экземпляров актов сверки расчетов от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 w:val="left" w:pos="1276" w:leader="none"/>
        </w:tabs>
        <w:ind w:left="0" w:firstLine="709"/>
        <w:jc w:val="both"/>
        <w:rPr>
          <w:sz w:val="24"/>
          <w:szCs w:val="24"/>
        </w:rPr>
      </w:pPr>
      <w:r>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rPr>
        <w:t xml:space="preserve">, в том числе (включая, но не ограничиваясь), суммы неотработанного аванса по Договору, суммы неустоек (пени, штрафы) </w:t>
        <w:br/>
        <w:t>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ind w:firstLine="709"/>
        <w:jc w:val="both"/>
        <w:rPr>
          <w:sz w:val="24"/>
          <w:szCs w:val="24"/>
        </w:rPr>
      </w:pPr>
      <w:r>
        <w:rPr>
          <w:sz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ListParagraph"/>
        <w:widowControl/>
        <w:shd w:val="clear" w:color="auto" w:fill="FFFFFF"/>
        <w:tabs>
          <w:tab w:val="clear" w:pos="709"/>
          <w:tab w:val="left" w:pos="1276" w:leader="none"/>
        </w:tabs>
        <w:ind w:left="0" w:firstLine="709"/>
        <w:jc w:val="both"/>
        <w:rPr>
          <w:bCs/>
          <w:sz w:val="24"/>
          <w:szCs w:val="24"/>
        </w:rPr>
      </w:pPr>
      <w:r>
        <w:rPr>
          <w:bCs/>
          <w:sz w:val="24"/>
          <w:szCs w:val="24"/>
        </w:rPr>
        <w:t>Поставщик не вправе производить замену Товара на иной Товар, если это приведет к несоблюдению защитных мер, установленных законодательством о Национальном режиме.</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sz w:val="24"/>
          <w:szCs w:val="24"/>
        </w:rPr>
        <w:t>Поставляемый</w:t>
      </w:r>
      <w:r>
        <w:rPr>
          <w:bCs/>
          <w:sz w:val="24"/>
          <w:szCs w:val="24"/>
        </w:rPr>
        <w:t xml:space="preserve">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w:t>
        <w:br/>
        <w:t>и не обременен правами третьих лиц.</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sz w:val="24"/>
          <w:szCs w:val="24"/>
        </w:rPr>
        <w:t>Одновременно</w:t>
      </w:r>
      <w:r>
        <w:rPr>
          <w:bCs/>
          <w:sz w:val="24"/>
          <w:szCs w:val="24"/>
        </w:rPr>
        <w:t xml:space="preserve">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ind w:left="1778" w:hanging="1069"/>
        <w:jc w:val="both"/>
        <w:rPr>
          <w:sz w:val="24"/>
          <w:szCs w:val="24"/>
        </w:rPr>
      </w:pPr>
      <w:r>
        <w:rPr>
          <w:sz w:val="24"/>
          <w:szCs w:val="24"/>
        </w:rPr>
        <w:t>сертификат качества в 1 (одном) экз.;</w:t>
      </w:r>
    </w:p>
    <w:p>
      <w:pPr>
        <w:pStyle w:val="Normal"/>
        <w:numPr>
          <w:ilvl w:val="0"/>
          <w:numId w:val="4"/>
        </w:numPr>
        <w:tabs>
          <w:tab w:val="clear" w:pos="709"/>
          <w:tab w:val="left" w:pos="1418" w:leader="none"/>
        </w:tabs>
        <w:ind w:left="1778" w:hanging="1069"/>
        <w:jc w:val="both"/>
        <w:rPr>
          <w:sz w:val="24"/>
          <w:szCs w:val="24"/>
        </w:rPr>
      </w:pPr>
      <w:r>
        <w:rPr>
          <w:sz w:val="24"/>
          <w:szCs w:val="24"/>
        </w:rPr>
        <w:t>технический паспорт на русском языке в1 (одном) экз.;</w:t>
      </w:r>
    </w:p>
    <w:p>
      <w:pPr>
        <w:pStyle w:val="Normal"/>
        <w:numPr>
          <w:ilvl w:val="0"/>
          <w:numId w:val="4"/>
        </w:numPr>
        <w:tabs>
          <w:tab w:val="clear" w:pos="709"/>
          <w:tab w:val="left" w:pos="1418" w:leader="none"/>
        </w:tabs>
        <w:ind w:left="0" w:firstLine="709"/>
        <w:jc w:val="both"/>
        <w:rPr>
          <w:sz w:val="24"/>
          <w:szCs w:val="24"/>
        </w:rPr>
      </w:pPr>
      <w:r>
        <w:rPr>
          <w:sz w:val="24"/>
          <w:szCs w:val="24"/>
        </w:rPr>
        <w:t>инструкция по эксплуатации на русском языке в 1 (одном) экз.;</w:t>
      </w:r>
    </w:p>
    <w:p>
      <w:pPr>
        <w:pStyle w:val="Normal"/>
        <w:numPr>
          <w:ilvl w:val="0"/>
          <w:numId w:val="4"/>
        </w:numPr>
        <w:tabs>
          <w:tab w:val="clear" w:pos="709"/>
          <w:tab w:val="left" w:pos="1418" w:leader="none"/>
        </w:tabs>
        <w:ind w:left="0" w:firstLine="709"/>
        <w:jc w:val="both"/>
        <w:rPr>
          <w:sz w:val="24"/>
          <w:szCs w:val="24"/>
        </w:rPr>
      </w:pPr>
      <w:r>
        <w:rPr>
          <w:sz w:val="24"/>
          <w:szCs w:val="24"/>
        </w:rPr>
        <w:t>упаковочный лист в 1 (одном) экз.;</w:t>
      </w:r>
    </w:p>
    <w:p>
      <w:pPr>
        <w:pStyle w:val="Normal"/>
        <w:numPr>
          <w:ilvl w:val="0"/>
          <w:numId w:val="3"/>
        </w:numPr>
        <w:tabs>
          <w:tab w:val="clear" w:pos="709"/>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tabs>
          <w:tab w:val="clear" w:pos="709"/>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2 (двух) экз.;</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 xml:space="preserve">товарная </w:t>
      </w:r>
      <w:r>
        <w:rPr>
          <w:sz w:val="24"/>
          <w:szCs w:val="24"/>
        </w:rPr>
        <w:t xml:space="preserve">накладная ТОРГ-12 / </w:t>
      </w:r>
      <w:r>
        <w:rPr>
          <w:sz w:val="24"/>
          <w:szCs w:val="24"/>
        </w:rPr>
        <w:t xml:space="preserve">УПД </w:t>
      </w:r>
      <w:r>
        <w:rPr>
          <w:sz w:val="24"/>
          <w:szCs w:val="24"/>
        </w:rPr>
        <w:t>в 2 (двух) экз.</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w:t>
      </w:r>
      <w:r>
        <w:rPr>
          <w:sz w:val="24"/>
          <w:szCs w:val="24"/>
        </w:rPr>
        <w:t>своего</w:t>
      </w:r>
      <w:r>
        <w:rPr>
          <w:bCs/>
          <w:sz w:val="24"/>
          <w:szCs w:val="24"/>
        </w:rPr>
        <w:t xml:space="preserve"> представителя, уполномоченного надлежащим образом оформленной доверенностью на передачу Товара Покупателю, подписание Акта рекламации. </w:t>
        <w:br/>
        <w:t xml:space="preserve">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w:t>
        <w:br/>
        <w:t xml:space="preserve">по Договору. Стороны будут рассматривать неявку представителя Поставщика </w:t>
        <w:br/>
        <w:t xml:space="preserve">как просрочку поставки. </w:t>
      </w:r>
    </w:p>
    <w:p>
      <w:pPr>
        <w:pStyle w:val="ListParagraph"/>
        <w:shd w:val="clear" w:color="auto" w:fill="FFFFFF"/>
        <w:tabs>
          <w:tab w:val="clear" w:pos="709"/>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В </w:t>
      </w:r>
      <w:r>
        <w:rPr>
          <w:sz w:val="24"/>
          <w:szCs w:val="24"/>
        </w:rPr>
        <w:t>случае</w:t>
      </w:r>
      <w:r>
        <w:rPr>
          <w:bCs/>
          <w:sz w:val="24"/>
          <w:szCs w:val="24"/>
        </w:rPr>
        <w:t xml:space="preserve"> неявки представителя Поставщика и / или его отказа от подписания Акта рекламации при приемке Товара, составленный и подписанный Покупателем </w:t>
        <w:br/>
        <w:t>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bookmarkStart w:id="0" w:name="_Ref361408474"/>
      <w:r>
        <w:rPr>
          <w:sz w:val="24"/>
          <w:szCs w:val="24"/>
        </w:rPr>
        <w:t>Товар</w:t>
      </w:r>
      <w:r>
        <w:rPr>
          <w:bCs/>
          <w:sz w:val="24"/>
          <w:szCs w:val="24"/>
        </w:rPr>
        <w:t xml:space="preserve">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w:t>
        <w:br/>
        <w:t xml:space="preserve">в сопроводительных документах).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Погрузка, доставка, разгрузка и перемещение Товара (в том числе </w:t>
        <w:br/>
        <w:t>по территории Покупателя)</w:t>
      </w:r>
      <w:r>
        <w:rPr>
          <w:rStyle w:val="FootnoteReference"/>
          <w:sz w:val="24"/>
          <w:szCs w:val="24"/>
        </w:rPr>
        <w:footnoteReference w:id="3"/>
      </w:r>
      <w:r>
        <w:rPr>
          <w:sz w:val="24"/>
          <w:szCs w:val="24"/>
        </w:rPr>
        <w:t xml:space="preserve"> </w:t>
      </w:r>
      <w:r>
        <w:rPr>
          <w:bCs/>
          <w:sz w:val="24"/>
          <w:szCs w:val="24"/>
        </w:rPr>
        <w:t>осуществляется</w:t>
      </w:r>
      <w:r>
        <w:rPr>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bookmarkStart w:id="1" w:name="_Ref361396594"/>
      <w:r>
        <w:rPr>
          <w:sz w:val="24"/>
          <w:szCs w:val="24"/>
        </w:rPr>
        <w:t xml:space="preserve">Датой поставки Товара является дата подписания Сторонами накладной </w:t>
        <w:br/>
        <w:t>ТОРГ-12.</w:t>
      </w:r>
      <w:bookmarkEnd w:id="1"/>
      <w:r>
        <w:rPr>
          <w:sz w:val="24"/>
          <w:szCs w:val="24"/>
        </w:rPr>
        <w:t xml:space="preserve">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Приемка Товара по количеству тар</w:t>
      </w:r>
      <w:r>
        <w:rPr>
          <w:sz w:val="24"/>
          <w:szCs w:val="24"/>
        </w:rPr>
        <w:t>ы</w:t>
      </w:r>
      <w:r>
        <w:rPr>
          <w:sz w:val="24"/>
          <w:szCs w:val="24"/>
        </w:rPr>
        <w:t xml:space="preserve">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w:t>
        <w:br/>
        <w:t xml:space="preserve">а также восполнить недопоставку Товара в срок, письменно согласованный с Покупателем. </w:t>
      </w:r>
    </w:p>
    <w:p>
      <w:pPr>
        <w:pStyle w:val="ListParagraph"/>
        <w:shd w:val="clear" w:color="auto" w:fill="FFFFFF"/>
        <w:tabs>
          <w:tab w:val="clear" w:pos="709"/>
          <w:tab w:val="left" w:pos="1418" w:leader="none"/>
        </w:tabs>
        <w:ind w:left="0" w:firstLine="709"/>
        <w:jc w:val="both"/>
        <w:rPr>
          <w:sz w:val="24"/>
          <w:szCs w:val="24"/>
        </w:rPr>
      </w:pPr>
      <w:bookmarkStart w:id="2"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Pr>
          <w:sz w:val="24"/>
          <w:szCs w:val="24"/>
        </w:rPr>
        <w:t xml:space="preserve">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w:t>
        <w:br/>
        <w:t xml:space="preserve">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 xml:space="preserve">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w:t>
        <w:br/>
        <w:t>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 xml:space="preserve">Покупатель вправе не производить любые платежи, предусмотренные Договором, </w:t>
        <w:br/>
        <w:t xml:space="preserve">до исполнения Поставщиком своих обязательств по Договору, при этом Покупатель </w:t>
        <w:br/>
        <w:t>не считается просрочившим.</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w:t>
        <w:br/>
        <w:t>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9"/>
          <w:tab w:val="left" w:pos="1283" w:leader="none"/>
          <w:tab w:val="left" w:pos="1851" w:leader="none"/>
        </w:tabs>
        <w:ind w:firstLine="709"/>
        <w:jc w:val="both"/>
        <w:rPr>
          <w:sz w:val="24"/>
          <w:szCs w:val="24"/>
        </w:rPr>
      </w:pPr>
      <w:r>
        <w:rPr>
          <w:sz w:val="24"/>
          <w:szCs w:val="24"/>
        </w:rPr>
        <w:t xml:space="preserve">Если Поставщик не вывезет Товар в указанный срок, Покупатель вправе самостоятельно возвратить Товар Поставщику. Расходы, понесенные Покупателем в связи </w:t>
        <w:br/>
        <w:t>с возвратом Товара, подлежат возмещению Поставщиком.</w:t>
      </w:r>
    </w:p>
    <w:p>
      <w:pPr>
        <w:pStyle w:val="ListParagraph"/>
        <w:widowControl/>
        <w:numPr>
          <w:ilvl w:val="1"/>
          <w:numId w:val="2"/>
        </w:numPr>
        <w:shd w:val="clear" w:color="auto" w:fill="FFFFFF"/>
        <w:tabs>
          <w:tab w:val="clear" w:pos="709"/>
          <w:tab w:val="left" w:pos="1276" w:leader="none"/>
        </w:tabs>
        <w:ind w:left="0" w:firstLine="709"/>
        <w:jc w:val="both"/>
        <w:rPr>
          <w:b/>
          <w:color w:val="000000"/>
          <w:sz w:val="24"/>
          <w:szCs w:val="24"/>
        </w:rPr>
      </w:pPr>
      <w:r>
        <w:rPr>
          <w:sz w:val="24"/>
          <w:szCs w:val="24"/>
        </w:rPr>
        <w:t xml:space="preserve">По иным вопросам, касающимся приемки Товара по количеству, качеству </w:t>
        <w:br/>
        <w:t xml:space="preserve">и комплектности в части, не противоречащей законодательству Российской Федерации </w:t>
        <w:br/>
        <w:t>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Normal"/>
        <w:shd w:val="clear" w:color="auto" w:fill="FFFFFF"/>
        <w:jc w:val="both"/>
        <w:rPr>
          <w:sz w:val="24"/>
          <w:szCs w:val="24"/>
        </w:rPr>
      </w:pPr>
      <w:r>
        <w:rPr>
          <w:sz w:val="24"/>
          <w:szCs w:val="24"/>
        </w:rPr>
      </w:r>
    </w:p>
    <w:p>
      <w:pPr>
        <w:pStyle w:val="ListParagraph"/>
        <w:numPr>
          <w:ilvl w:val="0"/>
          <w:numId w:val="2"/>
        </w:numPr>
        <w:shd w:val="clear" w:color="auto" w:fill="FFFFFF"/>
        <w:tabs>
          <w:tab w:val="clear" w:pos="709"/>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ind w:left="0" w:firstLine="709"/>
        <w:jc w:val="both"/>
        <w:rPr>
          <w:sz w:val="24"/>
          <w:szCs w:val="24"/>
        </w:rPr>
      </w:pPr>
      <w:r>
        <w:rPr>
          <w:sz w:val="24"/>
          <w:szCs w:val="24"/>
        </w:rPr>
        <w:t xml:space="preserve">Гарантийный срок на Товар, поставленный по Договору, составляет </w:t>
      </w:r>
      <w:r>
        <w:rPr>
          <w:sz w:val="24"/>
          <w:szCs w:val="24"/>
          <w:u w:val="single"/>
        </w:rPr>
        <w:t xml:space="preserve">12 (двенадцати) месяцев </w:t>
      </w:r>
      <w:r>
        <w:rPr>
          <w:sz w:val="24"/>
          <w:szCs w:val="24"/>
        </w:rPr>
        <w:t xml:space="preserve">и начинает течь с даты подписания Сторонами </w:t>
      </w:r>
      <w:r>
        <w:rPr>
          <w:sz w:val="24"/>
          <w:szCs w:val="24"/>
        </w:rPr>
        <w:t xml:space="preserve">товарной </w:t>
      </w:r>
      <w:r>
        <w:rPr>
          <w:sz w:val="24"/>
          <w:szCs w:val="24"/>
        </w:rPr>
        <w:t xml:space="preserve">накладной ТОРГ-12 </w:t>
      </w:r>
      <w:r>
        <w:rPr>
          <w:sz w:val="24"/>
          <w:szCs w:val="24"/>
        </w:rPr>
        <w:t>(УПД)</w:t>
      </w:r>
      <w:r>
        <w:rPr>
          <w:sz w:val="24"/>
          <w:szCs w:val="24"/>
        </w:rPr>
        <w:t>.</w:t>
      </w:r>
      <w:r>
        <w:rPr/>
        <w:t xml:space="preserve"> </w:t>
      </w:r>
      <w:r>
        <w:rPr>
          <w:sz w:val="24"/>
          <w:szCs w:val="24"/>
        </w:rPr>
        <w:t xml:space="preserve">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w:t>
        <w:br/>
        <w:t xml:space="preserve">к Товару, и Применимого права, возможность эксплуатации (использования) Товара </w:t>
        <w:br/>
        <w:t xml:space="preserve">в соответствии с его целевым назначением, а также несет безусловную ответственность </w:t>
        <w:br/>
        <w:t xml:space="preserve">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w:t>
        <w:br/>
        <w:t xml:space="preserve">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w:t>
        <w:br/>
        <w:t>по устранению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w:t>
      </w:r>
    </w:p>
    <w:p>
      <w:pPr>
        <w:pStyle w:val="Normal"/>
        <w:widowControl/>
        <w:shd w:val="clear" w:color="auto" w:fill="FFFFFF"/>
        <w:tabs>
          <w:tab w:val="clear" w:pos="709"/>
          <w:tab w:val="left" w:pos="0" w:leader="none"/>
          <w:tab w:val="left" w:pos="1134" w:leader="none"/>
        </w:tabs>
        <w:ind w:left="1419" w:hanging="0"/>
        <w:jc w:val="both"/>
        <w:rPr>
          <w:bCs/>
          <w:sz w:val="24"/>
          <w:szCs w:val="24"/>
        </w:rPr>
      </w:pPr>
      <w:r>
        <w:rPr>
          <w:bCs/>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276"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w:t>
        <w:br/>
        <w:t xml:space="preserve">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9"/>
          <w:tab w:val="left" w:pos="1276" w:leader="none"/>
        </w:tabs>
        <w:ind w:left="0" w:firstLine="709"/>
        <w:jc w:val="both"/>
        <w:rPr>
          <w:bCs/>
          <w:sz w:val="24"/>
          <w:szCs w:val="24"/>
        </w:rPr>
      </w:pPr>
      <w:r>
        <w:rPr>
          <w:bCs/>
          <w:sz w:val="24"/>
          <w:szCs w:val="24"/>
        </w:rPr>
        <w:t xml:space="preserve">В случае нарушения Покупателем сроков оплаты </w:t>
      </w:r>
      <w:r>
        <w:rPr>
          <w:bCs/>
          <w:sz w:val="24"/>
          <w:szCs w:val="24"/>
        </w:rPr>
        <w:t>поставленного Товара</w:t>
      </w:r>
      <w:r>
        <w:rPr>
          <w:bCs/>
          <w:sz w:val="24"/>
          <w:szCs w:val="24"/>
        </w:rPr>
        <w:t>,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одной десятой) процента от несвоевременно оплаченной суммы за каждый день просрочки.</w:t>
      </w:r>
    </w:p>
    <w:p>
      <w:pPr>
        <w:pStyle w:val="Normal"/>
        <w:widowControl/>
        <w:numPr>
          <w:ilvl w:val="1"/>
          <w:numId w:val="2"/>
        </w:numPr>
        <w:tabs>
          <w:tab w:val="clear" w:pos="709"/>
          <w:tab w:val="left" w:pos="1276" w:leader="none"/>
        </w:tabs>
        <w:ind w:left="0" w:firstLine="709"/>
        <w:jc w:val="both"/>
        <w:rPr>
          <w:sz w:val="24"/>
          <w:szCs w:val="24"/>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Покупатель вправе требовать уплаты Поставщиком неустойки в размере 0,1 (ноль целых и одной десятой) процента от Цены Договора за каждый день просрочки.</w:t>
      </w:r>
    </w:p>
    <w:p>
      <w:pPr>
        <w:pStyle w:val="Normal"/>
        <w:widowControl/>
        <w:numPr>
          <w:ilvl w:val="1"/>
          <w:numId w:val="2"/>
        </w:numPr>
        <w:tabs>
          <w:tab w:val="clear" w:pos="709"/>
          <w:tab w:val="left" w:pos="1276" w:leader="none"/>
        </w:tabs>
        <w:ind w:left="0" w:firstLine="709"/>
        <w:jc w:val="both"/>
        <w:rPr>
          <w:sz w:val="24"/>
          <w:szCs w:val="24"/>
        </w:rPr>
      </w:pPr>
      <w:r>
        <w:rPr>
          <w:sz w:val="24"/>
          <w:szCs w:val="24"/>
        </w:rPr>
        <w:t>В случае несвоевременного устранения Поставщиком выявленных недостатков Товара, Покупатель вправе требовать уплаты Поставщиком:</w:t>
      </w:r>
    </w:p>
    <w:p>
      <w:pPr>
        <w:pStyle w:val="ListParagraph"/>
        <w:widowControl/>
        <w:numPr>
          <w:ilvl w:val="2"/>
          <w:numId w:val="2"/>
        </w:numPr>
        <w:tabs>
          <w:tab w:val="clear" w:pos="709"/>
          <w:tab w:val="left" w:pos="1276" w:leader="none"/>
        </w:tabs>
        <w:ind w:left="0" w:firstLine="709"/>
        <w:jc w:val="both"/>
        <w:rPr>
          <w:sz w:val="24"/>
          <w:szCs w:val="24"/>
        </w:rPr>
      </w:pPr>
      <w:r>
        <w:rPr>
          <w:sz w:val="24"/>
          <w:szCs w:val="24"/>
        </w:rPr>
        <w:t xml:space="preserve">Неустойки в размере 0,1 (ноль целых и одной десятой)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w:t>
        <w:br/>
        <w:t>в целом.</w:t>
      </w:r>
    </w:p>
    <w:p>
      <w:pPr>
        <w:pStyle w:val="ListParagraph"/>
        <w:widowControl/>
        <w:numPr>
          <w:ilvl w:val="2"/>
          <w:numId w:val="2"/>
        </w:numPr>
        <w:tabs>
          <w:tab w:val="clear" w:pos="709"/>
          <w:tab w:val="left" w:pos="1276" w:leader="none"/>
        </w:tabs>
        <w:ind w:left="0" w:firstLine="709"/>
        <w:jc w:val="both"/>
        <w:rPr>
          <w:sz w:val="24"/>
          <w:szCs w:val="24"/>
        </w:rPr>
      </w:pPr>
      <w:r>
        <w:rPr>
          <w:sz w:val="24"/>
          <w:szCs w:val="24"/>
        </w:rPr>
        <w:t>Неустойки в размере 0,1 (ноль целых и одной десятой)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ListParagraph"/>
        <w:widowControl/>
        <w:numPr>
          <w:ilvl w:val="1"/>
          <w:numId w:val="2"/>
        </w:numPr>
        <w:tabs>
          <w:tab w:val="clear" w:pos="709"/>
          <w:tab w:val="left" w:pos="710" w:leader="none"/>
          <w:tab w:val="left" w:pos="1276" w:leader="none"/>
        </w:tabs>
        <w:ind w:left="0" w:firstLine="710"/>
        <w:jc w:val="both"/>
        <w:rPr>
          <w:sz w:val="24"/>
          <w:szCs w:val="24"/>
        </w:rPr>
      </w:pPr>
      <w:r>
        <w:rPr>
          <w:rFonts w:eastAsia="Calibri"/>
          <w:bCs/>
          <w:sz w:val="24"/>
          <w:szCs w:val="24"/>
        </w:rPr>
        <w:t xml:space="preserve">На сумму подлежащего возврату аванса начисляется неустойка в размере </w:t>
        <w:br/>
        <w:t>0,1 (ноль целых и одной десятой) процента с даты, установленной для возврата аванса</w:t>
      </w:r>
      <w:r>
        <w:rPr>
          <w:sz w:val="24"/>
          <w:szCs w:val="24"/>
        </w:rPr>
        <w:t>.</w:t>
      </w:r>
    </w:p>
    <w:p>
      <w:pPr>
        <w:pStyle w:val="ListParagraph"/>
        <w:widowControl/>
        <w:numPr>
          <w:ilvl w:val="1"/>
          <w:numId w:val="2"/>
        </w:numPr>
        <w:tabs>
          <w:tab w:val="clear" w:pos="709"/>
          <w:tab w:val="left" w:pos="710" w:leader="none"/>
          <w:tab w:val="left" w:pos="1276" w:leader="none"/>
        </w:tabs>
        <w:ind w:left="0" w:firstLine="710"/>
        <w:jc w:val="both"/>
        <w:rPr>
          <w:sz w:val="24"/>
          <w:szCs w:val="24"/>
        </w:rPr>
      </w:pPr>
      <w:r>
        <w:rPr>
          <w:bCs/>
          <w:sz w:val="24"/>
          <w:szCs w:val="24"/>
        </w:rPr>
        <w:t xml:space="preserve">В случае нарушения Поставщиком требований пропускного </w:t>
        <w:br/>
        <w:t xml:space="preserve">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tabs>
          <w:tab w:val="clear" w:pos="709"/>
          <w:tab w:val="left" w:pos="710" w:leader="none"/>
          <w:tab w:val="left" w:pos="1276" w:leader="none"/>
        </w:tabs>
        <w:ind w:left="0" w:firstLine="710"/>
        <w:jc w:val="both"/>
        <w:rPr>
          <w:sz w:val="24"/>
          <w:szCs w:val="24"/>
        </w:rPr>
      </w:pPr>
      <w:r>
        <w:rPr>
          <w:bCs/>
          <w:sz w:val="24"/>
          <w:szCs w:val="24"/>
        </w:rPr>
        <w:t xml:space="preserve">Если в результате составления и выставления Поставщиком счетов-фактур </w:t>
      </w:r>
      <w:r>
        <w:rPr>
          <w:bCs/>
          <w:sz w:val="24"/>
          <w:szCs w:val="24"/>
        </w:rPr>
        <w:t xml:space="preserve">(УПД) </w:t>
      </w:r>
      <w:r>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ind w:left="0" w:firstLine="709"/>
        <w:jc w:val="both"/>
        <w:rPr>
          <w:bCs/>
          <w:sz w:val="24"/>
          <w:szCs w:val="24"/>
        </w:rPr>
      </w:pPr>
      <w:r>
        <w:rPr>
          <w:bCs/>
          <w:sz w:val="24"/>
          <w:szCs w:val="24"/>
        </w:rPr>
        <w:t xml:space="preserve">В случае нарушения Поставщиком сроков предоставления счетов-фактур </w:t>
      </w:r>
      <w:r>
        <w:rPr>
          <w:bCs/>
          <w:sz w:val="24"/>
          <w:szCs w:val="24"/>
        </w:rPr>
        <w:t>(УПД)</w:t>
      </w:r>
      <w:r>
        <w:rPr>
          <w:bCs/>
          <w:sz w:val="24"/>
          <w:szCs w:val="24"/>
        </w:rPr>
        <w:t>,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color="auto" w:fill="FFFFFF"/>
        <w:ind w:left="0" w:firstLine="709"/>
        <w:jc w:val="both"/>
        <w:rPr>
          <w:bCs/>
          <w:sz w:val="24"/>
          <w:szCs w:val="24"/>
        </w:rPr>
      </w:pPr>
      <w:r>
        <w:rPr>
          <w:bCs/>
          <w:sz w:val="24"/>
          <w:szCs w:val="24"/>
        </w:rPr>
        <w:t xml:space="preserve">Поставщик несет ответственность перед Покупателем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color="auto" w:fill="FFFFFF"/>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0" w:leader="none"/>
        </w:tabs>
        <w:ind w:left="0" w:hanging="36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w:t>
        <w:br/>
        <w:t>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5"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5"/>
      <w:r>
        <w:rPr>
          <w:bCs/>
          <w:sz w:val="24"/>
          <w:szCs w:val="24"/>
        </w:rPr>
        <w:t xml:space="preserve"> </w:t>
      </w:r>
    </w:p>
    <w:p>
      <w:pPr>
        <w:pStyle w:val="ListParagraph"/>
        <w:widowContro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9"/>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9"/>
          <w:tab w:val="left" w:pos="1418" w:leader="none"/>
        </w:tabs>
        <w:ind w:left="0" w:firstLine="709"/>
        <w:jc w:val="both"/>
        <w:rPr>
          <w:bCs/>
          <w:sz w:val="24"/>
          <w:szCs w:val="24"/>
        </w:rPr>
      </w:pPr>
      <w:bookmarkStart w:id="6"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6"/>
    </w:p>
    <w:p>
      <w:pPr>
        <w:pStyle w:val="ListParagraph"/>
        <w:widowControl/>
        <w:numPr>
          <w:ilvl w:val="2"/>
          <w:numId w:val="2"/>
        </w:numPr>
        <w:shd w:val="clear" w:color="auto" w:fill="FFFFFF"/>
        <w:tabs>
          <w:tab w:val="clear" w:pos="709"/>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bookmarkStart w:id="7"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7"/>
    </w:p>
    <w:p>
      <w:pPr>
        <w:pStyle w:val="Normal"/>
        <w:numPr>
          <w:ilvl w:val="1"/>
          <w:numId w:val="2"/>
        </w:numPr>
        <w:shd w:val="clear" w:color="auto" w:fill="FFFFFF"/>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9"/>
          <w:tab w:val="left" w:pos="1134" w:leader="none"/>
        </w:tabs>
        <w:ind w:left="709" w:hanging="0"/>
        <w:jc w:val="both"/>
        <w:rPr>
          <w:sz w:val="24"/>
          <w:szCs w:val="24"/>
        </w:rPr>
      </w:pPr>
      <w:r>
        <w:rPr>
          <w:sz w:val="24"/>
          <w:szCs w:val="24"/>
        </w:rPr>
      </w:r>
    </w:p>
    <w:p>
      <w:pPr>
        <w:pStyle w:val="ListParagraph"/>
        <w:widowControl/>
        <w:numPr>
          <w:ilvl w:val="0"/>
          <w:numId w:val="2"/>
        </w:numPr>
        <w:shd w:val="clear" w:color="auto" w:fill="FFFFFF"/>
        <w:ind w:left="0" w:hanging="36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9"/>
          <w:tab w:val="left" w:pos="0"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Самарской области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ind w:left="0" w:hanging="36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9"/>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w:t>
        <w:br/>
        <w:t>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w:t>
        <w:br/>
        <w:t>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8.3. В случае возникновения у любой Стороны обоснованных предположений, что </w:t>
        <w:br/>
        <w:t xml:space="preserve">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w:t>
        <w:br/>
        <w:t>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не позднее </w:t>
        <w:br/>
        <w:t>5 (пяти) рабочих дней с даты получения письменного уведомления.</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w:t>
        <w:br/>
        <w:t xml:space="preserve">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w:t>
        <w:br/>
        <w:t xml:space="preserve">не позднее 5 (пяти) календарных дней до даты прекращения действия Договора. </w:t>
      </w:r>
    </w:p>
    <w:p>
      <w:pPr>
        <w:pStyle w:val="Normal"/>
        <w:shd w:val="clear" w:color="auto" w:fill="FFFFFF"/>
        <w:tabs>
          <w:tab w:val="clear" w:pos="709"/>
          <w:tab w:val="left" w:pos="567" w:leader="none"/>
          <w:tab w:val="left" w:pos="1134" w:leader="none"/>
        </w:tabs>
        <w:ind w:firstLine="709"/>
        <w:jc w:val="both"/>
        <w:rPr>
          <w:color w:val="000000"/>
          <w:sz w:val="24"/>
          <w:szCs w:val="24"/>
        </w:rPr>
      </w:pPr>
      <w:r>
        <w:rPr>
          <w:color w:val="000000"/>
          <w:sz w:val="24"/>
          <w:szCs w:val="24"/>
        </w:rPr>
        <w:t xml:space="preserve">8.7. Каналы связи Линии доверия Группы РусГидро: </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 xml:space="preserve">8.7.2. Специальная форма «обратной связи», размещенная на официальном сайте </w:t>
        <w:br/>
        <w:t>ПАО «РусГидро»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9"/>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ind w:left="0" w:hanging="36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sz w:val="24"/>
          <w:szCs w:val="24"/>
        </w:rPr>
        <w:t xml:space="preserve">Надлежащим (достаточным) доказательством наличия / возникновения </w:t>
        <w:br/>
        <w:t xml:space="preserve">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w:t>
        <w:br/>
        <w:t>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spacing w:lineRule="auto" w:line="259" w:before="0" w:after="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9"/>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w:t>
        <w:br/>
        <w:t xml:space="preserve">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самостоятельной оценки рисков налогоплательщиков, используемым налоговыми органами в процессе отбора объектов для проведения выездных налоговых проверок (утв. приказом ФНС России от 30.05.2007 № ММ-3-06/333).</w:t>
      </w:r>
    </w:p>
    <w:p>
      <w:pPr>
        <w:pStyle w:val="ListParagraph"/>
        <w:widowControl/>
        <w:numPr>
          <w:ilvl w:val="1"/>
          <w:numId w:val="2"/>
        </w:numPr>
        <w:shd w:val="clear" w:color="auto" w:fill="FFFFFF"/>
        <w:tabs>
          <w:tab w:val="clear" w:pos="709"/>
          <w:tab w:val="left" w:pos="1418" w:leader="none"/>
        </w:tabs>
        <w:ind w:left="0" w:firstLine="709"/>
        <w:jc w:val="both"/>
        <w:rPr>
          <w:bCs/>
          <w:sz w:val="24"/>
          <w:szCs w:val="24"/>
        </w:rPr>
      </w:pPr>
      <w:r>
        <w:rPr>
          <w:bCs/>
          <w:sz w:val="24"/>
          <w:szCs w:val="24"/>
        </w:rPr>
        <w:t xml:space="preserve">Поставщик обязуется незамедлительно уведомить Покупателя о появлении </w:t>
        <w:br/>
        <w:t>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9"/>
          <w:tab w:val="left" w:pos="1418" w:leader="none"/>
        </w:tabs>
        <w:ind w:left="0" w:firstLine="709"/>
        <w:jc w:val="both"/>
        <w:rPr>
          <w:bCs/>
          <w:sz w:val="24"/>
          <w:szCs w:val="24"/>
        </w:rPr>
      </w:pPr>
      <w:r>
        <w:rPr>
          <w:bCs/>
          <w:sz w:val="24"/>
          <w:szCs w:val="24"/>
        </w:rPr>
        <w:t xml:space="preserve">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w:t>
        <w:br/>
        <w:t>до наступления указанной Покупателем даты расторжения.</w:t>
      </w:r>
    </w:p>
    <w:p>
      <w:pPr>
        <w:pStyle w:val="ListParagraph"/>
        <w:widowControl/>
        <w:numPr>
          <w:ilvl w:val="1"/>
          <w:numId w:val="2"/>
        </w:numPr>
        <w:shd w:val="clear" w:color="auto" w:fill="FFFFFF"/>
        <w:tabs>
          <w:tab w:val="clear" w:pos="709"/>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9"/>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9"/>
          <w:tab w:val="left" w:pos="1418" w:leader="none"/>
        </w:tabs>
        <w:ind w:left="0" w:firstLine="709"/>
        <w:jc w:val="both"/>
        <w:rPr>
          <w:bCs/>
          <w:sz w:val="24"/>
          <w:szCs w:val="24"/>
        </w:rPr>
      </w:pPr>
      <w:r>
        <w:rPr>
          <w:bCs/>
          <w:sz w:val="24"/>
          <w:szCs w:val="24"/>
        </w:rPr>
        <w:t xml:space="preserve">Покупатель вправе приостановить осуществление любых платежей </w:t>
        <w:br/>
        <w:t>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9"/>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36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 xml:space="preserve">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w:t>
        <w:br/>
        <w:t>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9"/>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по письменному требованию Покупателя уплатить последнему штраф </w:t>
        <w:br/>
        <w:t>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w:t>
        <w:br/>
        <w:t>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9"/>
          <w:tab w:val="left" w:pos="1134" w:leader="none"/>
          <w:tab w:val="left" w:pos="1418" w:leader="none"/>
        </w:tabs>
        <w:ind w:left="709" w:hanging="0"/>
        <w:jc w:val="both"/>
        <w:rPr>
          <w:sz w:val="24"/>
          <w:szCs w:val="24"/>
        </w:rPr>
      </w:pPr>
      <w:r>
        <w:rPr>
          <w:sz w:val="24"/>
          <w:szCs w:val="24"/>
        </w:rPr>
      </w:r>
    </w:p>
    <w:p>
      <w:pPr>
        <w:pStyle w:val="ListParagraph"/>
        <w:widowControl/>
        <w:numPr>
          <w:ilvl w:val="0"/>
          <w:numId w:val="2"/>
        </w:numPr>
        <w:shd w:val="clear" w:color="auto" w:fill="FFFFFF"/>
        <w:ind w:left="0" w:hanging="36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9"/>
          <w:tab w:val="left" w:pos="0" w:leader="none"/>
          <w:tab w:val="left" w:pos="1418" w:leader="none"/>
        </w:tabs>
        <w:ind w:left="0" w:firstLine="709"/>
        <w:jc w:val="both"/>
        <w:rPr>
          <w:sz w:val="24"/>
          <w:szCs w:val="24"/>
        </w:rPr>
      </w:pPr>
      <w:r>
        <w:rPr>
          <w:sz w:val="24"/>
          <w:szCs w:val="24"/>
        </w:rPr>
        <w:t xml:space="preserve">Покупатель одновременно с уведомлением об отказе от Договора (исполнения Договора) направляет Поставщику письменное требование о возмещении убытков </w:t>
        <w:br/>
        <w:t xml:space="preserve">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w:t>
        <w:br/>
        <w:t>от Покупателя.</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 xml:space="preserve">нарушение Поставщиком общего срока поставки Товара по Договору, а также промежуточных сроков поставки Товара, установленных Договором, более чем </w:t>
        <w:br/>
        <w:t>на 60 (шестьдесят) календарных дней по причинам, не зависящим от Покупателя;</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w:t>
        <w:br/>
        <w:t xml:space="preserve">от Договора (исполнения Договора).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9"/>
          <w:tab w:val="left" w:pos="0" w:leader="none"/>
        </w:tabs>
        <w:ind w:left="709" w:hanging="0"/>
        <w:jc w:val="both"/>
        <w:rPr>
          <w:bCs/>
          <w:sz w:val="24"/>
          <w:szCs w:val="24"/>
        </w:rPr>
      </w:pPr>
      <w:r>
        <w:rPr>
          <w:bCs/>
          <w:sz w:val="24"/>
          <w:szCs w:val="24"/>
        </w:rPr>
      </w:r>
    </w:p>
    <w:p>
      <w:pPr>
        <w:pStyle w:val="ListParagraph"/>
        <w:widowControl/>
        <w:numPr>
          <w:ilvl w:val="0"/>
          <w:numId w:val="2"/>
        </w:numPr>
        <w:shd w:val="clear" w:color="auto" w:fill="FFFFFF"/>
        <w:ind w:left="0" w:hanging="36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9"/>
          <w:tab w:val="left" w:pos="142"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9"/>
          <w:tab w:val="left" w:pos="142" w:leader="none"/>
          <w:tab w:val="left" w:pos="1418" w:leader="none"/>
        </w:tabs>
        <w:snapToGrid w:val="false"/>
        <w:ind w:left="0" w:firstLine="709"/>
        <w:jc w:val="both"/>
        <w:rPr>
          <w:sz w:val="24"/>
          <w:szCs w:val="24"/>
          <w:highlight w:val="lightGray"/>
          <w:lang w:eastAsia="en-US"/>
        </w:rPr>
      </w:pPr>
      <w:r>
        <w:rPr>
          <w:sz w:val="24"/>
          <w:szCs w:val="24"/>
          <w:highlight w:val="lightGray"/>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9"/>
          <w:tab w:val="left" w:pos="142" w:leader="none"/>
        </w:tabs>
        <w:ind w:firstLine="709"/>
        <w:jc w:val="both"/>
        <w:rPr>
          <w:sz w:val="24"/>
          <w:szCs w:val="24"/>
          <w:lang w:eastAsia="en-US"/>
        </w:rPr>
      </w:pPr>
      <w:r>
        <w:rPr>
          <w:sz w:val="24"/>
          <w:szCs w:val="24"/>
          <w:highlight w:val="lightGray"/>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4"/>
          <w:highlight w:val="lightGray"/>
          <w:lang w:eastAsia="en-US"/>
        </w:rPr>
        <w:footnoteReference w:id="4"/>
      </w:r>
      <w:r>
        <w:rPr>
          <w:sz w:val="24"/>
          <w:szCs w:val="24"/>
          <w:highlight w:val="lightGray"/>
          <w:lang w:eastAsia="en-US"/>
        </w:rPr>
        <w:t>.</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13.8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bookmarkStart w:id="8"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8"/>
      <w:r>
        <w:rPr>
          <w:sz w:val="24"/>
          <w:szCs w:val="24"/>
        </w:rPr>
        <w:t xml:space="preserve"> </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9"/>
          <w:tab w:val="left" w:pos="0" w:leader="none"/>
          <w:tab w:val="left" w:pos="1418" w:leader="none"/>
          <w:tab w:val="left" w:pos="1985"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shd w:val="clear" w:color="auto" w:fill="FFFFFF"/>
        <w:tabs>
          <w:tab w:val="clear" w:pos="709"/>
          <w:tab w:val="left" w:pos="0" w:leader="none"/>
          <w:tab w:val="left" w:pos="1418" w:leader="none"/>
          <w:tab w:val="left" w:pos="1985" w:leader="none"/>
        </w:tabs>
        <w:ind w:left="0" w:firstLine="709"/>
        <w:jc w:val="both"/>
        <w:rPr>
          <w:bCs/>
          <w:sz w:val="24"/>
          <w:szCs w:val="24"/>
        </w:rPr>
      </w:pPr>
      <w:r>
        <w:rPr>
          <w:sz w:val="24"/>
          <w:szCs w:val="24"/>
        </w:rPr>
        <w:t xml:space="preserve">Уступка (передача), в том числе в залог, прав (требований) к Покупателю </w:t>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rStyle w:val="FootnoteReference"/>
          <w:sz w:val="24"/>
          <w:szCs w:val="24"/>
        </w:rPr>
        <w:footnoteReference w:id="5"/>
      </w:r>
      <w:r>
        <w:rPr>
          <w:bCs/>
          <w:sz w:val="24"/>
          <w:szCs w:val="24"/>
        </w:rPr>
        <w:t>.</w:t>
      </w:r>
      <w:r>
        <w:rPr>
          <w:sz w:val="24"/>
          <w:szCs w:val="24"/>
        </w:rPr>
        <w:t xml:space="preserve">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Договор составлен в 2 (двух) оригинальных экземплярах, имеющих равную юридическую силу, по 1 (одному) для каждой из Сторон</w:t>
      </w:r>
      <w:r>
        <w:rPr>
          <w:rStyle w:val="FootnoteReference"/>
          <w:sz w:val="24"/>
          <w:szCs w:val="24"/>
          <w:highlight w:val="lightGray"/>
        </w:rPr>
        <w:footnoteReference w:id="6"/>
      </w:r>
      <w:r>
        <w:rPr>
          <w:sz w:val="24"/>
          <w:szCs w:val="24"/>
          <w:highlight w:val="lightGray"/>
        </w:rPr>
        <w:t>.</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9"/>
          <w:tab w:val="left" w:pos="284" w:leader="none"/>
        </w:tabs>
        <w:spacing w:lineRule="auto" w:line="259" w:before="0" w:after="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9"/>
          <w:tab w:val="left" w:pos="0" w:leader="none"/>
        </w:tabs>
        <w:ind w:firstLine="709"/>
        <w:jc w:val="both"/>
        <w:rPr>
          <w:rFonts w:eastAsia="Calibri"/>
          <w:sz w:val="24"/>
          <w:szCs w:val="24"/>
          <w:lang w:eastAsia="en-US"/>
        </w:rPr>
      </w:pPr>
      <w:bookmarkStart w:id="9" w:name="sub_1"/>
      <w:r>
        <w:rPr>
          <w:rFonts w:eastAsia="Calibri"/>
          <w:sz w:val="24"/>
          <w:szCs w:val="24"/>
          <w:lang w:eastAsia="en-US"/>
        </w:rPr>
        <w:t>Приложение № 1 – Спецификация.</w:t>
      </w:r>
    </w:p>
    <w:p>
      <w:pPr>
        <w:pStyle w:val="Normal"/>
        <w:widowControl/>
        <w:shd w:val="clear" w:color="auto" w:fill="FFFFFF"/>
        <w:tabs>
          <w:tab w:val="clear" w:pos="709"/>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9"/>
    </w:p>
    <w:p>
      <w:pPr>
        <w:pStyle w:val="Normal"/>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w:t>
        <w:br/>
        <w:t>и внутриобъектового режима, требований охраны труда, пожарной и промышленной безопасности.</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36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9"/>
          <w:tab w:val="left" w:pos="426" w:leader="none"/>
        </w:tabs>
        <w:ind w:left="360" w:hanging="0"/>
        <w:rPr>
          <w:b/>
          <w:bCs/>
          <w:sz w:val="24"/>
          <w:szCs w:val="24"/>
        </w:rPr>
      </w:pPr>
      <w:r>
        <w:rPr>
          <w:b/>
          <w:bCs/>
          <w:sz w:val="24"/>
          <w:szCs w:val="24"/>
        </w:rPr>
      </w:r>
    </w:p>
    <w:tbl>
      <w:tblPr>
        <w:tblW w:w="973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11"/>
        <w:gridCol w:w="141"/>
        <w:gridCol w:w="4571"/>
        <w:gridCol w:w="315"/>
      </w:tblGrid>
      <w:tr>
        <w:trPr>
          <w:trHeight w:val="256" w:hRule="atLeast"/>
        </w:trPr>
        <w:tc>
          <w:tcPr>
            <w:tcW w:w="4852" w:type="dxa"/>
            <w:gridSpan w:val="2"/>
            <w:tcBorders/>
            <w:shd w:color="auto" w:fill="auto" w:val="clear"/>
          </w:tcPr>
          <w:p>
            <w:pPr>
              <w:pStyle w:val="Normal"/>
              <w:widowControl w:val="false"/>
              <w:rPr>
                <w:sz w:val="24"/>
                <w:szCs w:val="24"/>
              </w:rPr>
            </w:pPr>
            <w:r>
              <w:rPr>
                <w:sz w:val="24"/>
                <w:szCs w:val="24"/>
              </w:rPr>
              <w:t>ПОКУПАТЕЛЬ:</w:t>
            </w:r>
          </w:p>
        </w:tc>
        <w:tc>
          <w:tcPr>
            <w:tcW w:w="4886" w:type="dxa"/>
            <w:gridSpan w:val="2"/>
            <w:tcBorders/>
            <w:shd w:color="auto" w:fill="auto" w:val="clear"/>
          </w:tcPr>
          <w:p>
            <w:pPr>
              <w:pStyle w:val="Normal"/>
              <w:widowControl w:val="false"/>
              <w:rPr>
                <w:sz w:val="24"/>
                <w:szCs w:val="24"/>
              </w:rPr>
            </w:pPr>
            <w:r>
              <w:rPr>
                <w:sz w:val="24"/>
                <w:szCs w:val="24"/>
              </w:rPr>
              <w:t>ПОСТАВЩИК:</w:t>
            </w:r>
          </w:p>
        </w:tc>
      </w:tr>
      <w:tr>
        <w:trPr>
          <w:trHeight w:val="955" w:hRule="atLeast"/>
        </w:trPr>
        <w:tc>
          <w:tcPr>
            <w:tcW w:w="4852" w:type="dxa"/>
            <w:gridSpan w:val="2"/>
            <w:tcBorders/>
            <w:shd w:color="auto" w:fill="auto" w:val="clear"/>
          </w:tcPr>
          <w:p>
            <w:pPr>
              <w:pStyle w:val="Normal"/>
              <w:widowControl w:val="false"/>
              <w:rPr>
                <w:sz w:val="24"/>
                <w:szCs w:val="24"/>
              </w:rPr>
            </w:pPr>
            <w:r>
              <w:rPr>
                <w:sz w:val="24"/>
                <w:szCs w:val="24"/>
              </w:rPr>
            </w:r>
          </w:p>
          <w:p>
            <w:pPr>
              <w:pStyle w:val="Normal"/>
              <w:widowControl w:val="false"/>
              <w:rPr>
                <w:rFonts w:ascii="TimesNewRomanPS-BoldMT" w:hAnsi="TimesNewRomanPS-BoldMT" w:cs="TimesNewRomanPS-BoldMT"/>
                <w:b/>
                <w:bCs/>
                <w:sz w:val="24"/>
                <w:szCs w:val="24"/>
              </w:rPr>
            </w:pPr>
            <w:r>
              <w:rPr>
                <w:rFonts w:cs="TimesNewRomanPS-BoldMT" w:ascii="TimesNewRomanPS-BoldMT" w:hAnsi="TimesNewRomanPS-BoldMT"/>
                <w:b/>
                <w:bCs/>
                <w:sz w:val="24"/>
                <w:szCs w:val="24"/>
              </w:rPr>
              <w:t>Публичное акционерное общество</w:t>
            </w:r>
          </w:p>
          <w:p>
            <w:pPr>
              <w:pStyle w:val="Normal"/>
              <w:widowControl w:val="false"/>
              <w:rPr>
                <w:rFonts w:ascii="TimesNewRomanPS-BoldMT" w:hAnsi="TimesNewRomanPS-BoldMT" w:cs="TimesNewRomanPS-BoldMT"/>
                <w:b/>
                <w:bCs/>
                <w:sz w:val="24"/>
                <w:szCs w:val="24"/>
              </w:rPr>
            </w:pPr>
            <w:r>
              <w:rPr>
                <w:rFonts w:cs="TimesNewRomanPS-BoldMT" w:ascii="TimesNewRomanPS-BoldMT" w:hAnsi="TimesNewRomanPS-BoldMT"/>
                <w:b/>
                <w:bCs/>
                <w:sz w:val="24"/>
                <w:szCs w:val="24"/>
              </w:rPr>
              <w:t>«Федеральная гидрогенерирующая</w:t>
            </w:r>
          </w:p>
          <w:p>
            <w:pPr>
              <w:pStyle w:val="Normal"/>
              <w:widowControl w:val="false"/>
              <w:rPr>
                <w:rFonts w:ascii="TimesNewRomanPS-BoldMT" w:hAnsi="TimesNewRomanPS-BoldMT" w:cs="TimesNewRomanPS-BoldMT"/>
                <w:b/>
                <w:bCs/>
                <w:sz w:val="24"/>
                <w:szCs w:val="24"/>
              </w:rPr>
            </w:pPr>
            <w:r>
              <w:rPr>
                <w:rFonts w:cs="TimesNewRomanPS-BoldMT" w:ascii="TimesNewRomanPS-BoldMT" w:hAnsi="TimesNewRomanPS-BoldMT"/>
                <w:b/>
                <w:bCs/>
                <w:sz w:val="24"/>
                <w:szCs w:val="24"/>
              </w:rPr>
              <w:t>компания - РусГидро» (ПАО «РусГидро»)</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Место нахождения:</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660049, Красноярский край, г.о. город</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Красноярск, г. Красноярск,</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ул. Перенсона, зд. 2а, помещ. 1.</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Почтовый адрес: 660049, Красноярский край,</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г.о. город Красноярск, г. Красноярск,</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ул. Перенсона, зд. 2а, помещ. 1.</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ОГРН 1042401810494,</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ИНН 2460066195 / КПП 997650001</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r>
          </w:p>
          <w:p>
            <w:pPr>
              <w:pStyle w:val="Normal"/>
              <w:widowControl w:val="false"/>
              <w:rPr>
                <w:rFonts w:ascii="TimesNewRomanPSMT" w:hAnsi="TimesNewRomanPSMT" w:cs="TimesNewRomanPSMT"/>
                <w:b/>
                <w:sz w:val="24"/>
                <w:szCs w:val="24"/>
              </w:rPr>
            </w:pPr>
            <w:r>
              <w:rPr>
                <w:rFonts w:cs="TimesNewRomanPSMT" w:ascii="TimesNewRomanPSMT" w:hAnsi="TimesNewRomanPSMT"/>
                <w:b/>
                <w:sz w:val="24"/>
                <w:szCs w:val="24"/>
              </w:rPr>
              <w:t>Филиал ПАО «РусГидро» - «Жигулевская</w:t>
            </w:r>
          </w:p>
          <w:p>
            <w:pPr>
              <w:pStyle w:val="Normal"/>
              <w:widowControl w:val="false"/>
              <w:rPr>
                <w:rFonts w:ascii="TimesNewRomanPSMT" w:hAnsi="TimesNewRomanPSMT" w:cs="TimesNewRomanPSMT"/>
                <w:b/>
                <w:sz w:val="24"/>
                <w:szCs w:val="24"/>
              </w:rPr>
            </w:pPr>
            <w:r>
              <w:rPr>
                <w:rFonts w:cs="TimesNewRomanPSMT" w:ascii="TimesNewRomanPSMT" w:hAnsi="TimesNewRomanPSMT"/>
                <w:b/>
                <w:sz w:val="24"/>
                <w:szCs w:val="24"/>
              </w:rPr>
              <w:t>ГЭС»</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Место нахождения: Российская Федерация,</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Самарская обл., г. Жигулевск</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Почтовый адрес филиала: 445350, Самарская</w:t>
            </w:r>
          </w:p>
          <w:p>
            <w:pPr>
              <w:pStyle w:val="Normal"/>
              <w:widowControl w:val="false"/>
              <w:rPr>
                <w:sz w:val="24"/>
                <w:szCs w:val="24"/>
              </w:rPr>
            </w:pPr>
            <w:r>
              <w:rPr>
                <w:rFonts w:cs="TimesNewRomanPSMT" w:ascii="TimesNewRomanPSMT" w:hAnsi="TimesNewRomanPSMT"/>
                <w:sz w:val="24"/>
                <w:szCs w:val="24"/>
              </w:rPr>
              <w:t>обл., г. Жигулевск, ул. Московское шоссе,2</w:t>
            </w:r>
            <w:r>
              <w:rPr>
                <w:sz w:val="24"/>
                <w:szCs w:val="24"/>
              </w:rPr>
              <w:t xml:space="preserve"> </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ОКПО 00102551, ОКВЭД 40.10.12,</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ИНН/КПП: 2460066195/634502001</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Р/с: 40702810054040002491 в Поволжском</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банке Сбербанка РФ, г. Самара</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К/с: 30101810200000000607</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БИК: 043601607</w:t>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r>
          </w:p>
          <w:p>
            <w:pPr>
              <w:pStyle w:val="Normal"/>
              <w:widowControl w:val="false"/>
              <w:rPr>
                <w:rFonts w:ascii="TimesNewRomanPSMT" w:hAnsi="TimesNewRomanPSMT" w:cs="TimesNewRomanPSMT"/>
                <w:sz w:val="24"/>
                <w:szCs w:val="24"/>
              </w:rPr>
            </w:pPr>
            <w:r>
              <w:rPr>
                <w:rFonts w:cs="TimesNewRomanPSMT" w:ascii="TimesNewRomanPSMT" w:hAnsi="TimesNewRomanPSMT"/>
                <w:sz w:val="24"/>
                <w:szCs w:val="24"/>
              </w:rPr>
              <w:t>Телефон: 8 (84862) 75-1-09</w:t>
            </w:r>
          </w:p>
          <w:p>
            <w:pPr>
              <w:pStyle w:val="Normal"/>
              <w:widowControl w:val="false"/>
              <w:rPr>
                <w:sz w:val="24"/>
                <w:szCs w:val="24"/>
              </w:rPr>
            </w:pPr>
            <w:r>
              <w:rPr>
                <w:rFonts w:cs="TimesNewRomanPSMT" w:ascii="TimesNewRomanPSMT" w:hAnsi="TimesNewRomanPSMT"/>
                <w:sz w:val="24"/>
                <w:szCs w:val="24"/>
              </w:rPr>
              <w:t>Факс: 8 (84862) 2-15-87</w:t>
            </w:r>
          </w:p>
        </w:tc>
        <w:tc>
          <w:tcPr>
            <w:tcW w:w="4886" w:type="dxa"/>
            <w:gridSpan w:val="2"/>
            <w:tcBorders/>
            <w:shd w:color="auto" w:fill="auto" w:val="clear"/>
          </w:tcPr>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юридического лица)</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 нахождения:</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ОГРН ___________________________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факса)</w:t>
            </w:r>
          </w:p>
          <w:p>
            <w:pPr>
              <w:pStyle w:val="Normal"/>
              <w:widowControl w:val="false"/>
              <w:rPr>
                <w:sz w:val="24"/>
                <w:szCs w:val="24"/>
              </w:rPr>
            </w:pPr>
            <w:r>
              <w:rPr>
                <w:sz w:val="24"/>
                <w:szCs w:val="24"/>
              </w:rPr>
            </w:r>
          </w:p>
        </w:tc>
      </w:tr>
      <w:tr>
        <w:trPr>
          <w:trHeight w:val="1331" w:hRule="atLeast"/>
        </w:trPr>
        <w:tc>
          <w:tcPr>
            <w:tcW w:w="4711" w:type="dxa"/>
            <w:tcBorders/>
            <w:shd w:color="auto" w:fill="auto" w:val="clear"/>
          </w:tcPr>
          <w:p>
            <w:pPr>
              <w:pStyle w:val="Normal"/>
              <w:widowControl w:val="false"/>
              <w:rPr>
                <w:sz w:val="24"/>
                <w:szCs w:val="24"/>
              </w:rPr>
            </w:pPr>
            <w:r>
              <w:rPr>
                <w:sz w:val="24"/>
                <w:szCs w:val="24"/>
              </w:rPr>
              <w:t>Директор филиала</w:t>
            </w:r>
          </w:p>
          <w:p>
            <w:pPr>
              <w:pStyle w:val="Normal"/>
              <w:widowControl w:val="false"/>
              <w:rPr>
                <w:sz w:val="24"/>
                <w:szCs w:val="24"/>
              </w:rPr>
            </w:pPr>
            <w:r>
              <w:rPr>
                <w:sz w:val="24"/>
                <w:szCs w:val="24"/>
              </w:rPr>
              <w:t xml:space="preserve">ПАО «РусГидро» - «Жигулевская ГЭС» _______________ / _______________ </w:t>
            </w:r>
          </w:p>
          <w:p>
            <w:pPr>
              <w:pStyle w:val="Normal"/>
              <w:widowControl w:val="false"/>
              <w:rPr>
                <w:sz w:val="24"/>
                <w:szCs w:val="24"/>
              </w:rPr>
            </w:pPr>
            <w:r>
              <w:rPr>
                <w:sz w:val="24"/>
                <w:szCs w:val="24"/>
              </w:rPr>
            </w:r>
          </w:p>
        </w:tc>
        <w:tc>
          <w:tcPr>
            <w:tcW w:w="4712" w:type="dxa"/>
            <w:gridSpan w:val="2"/>
            <w:tcBorders/>
            <w:shd w:color="auto" w:fill="auto" w:val="clear"/>
          </w:tcPr>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_______________ / _______________ </w:t>
            </w:r>
          </w:p>
        </w:tc>
        <w:tc>
          <w:tcPr>
            <w:tcW w:w="315" w:type="dxa"/>
            <w:tcBorders/>
          </w:tcPr>
          <w:p>
            <w:pPr>
              <w:pStyle w:val="Normal"/>
              <w:widowControl w:val="false"/>
              <w:rPr/>
            </w:pPr>
            <w:r>
              <w:rPr/>
            </w:r>
          </w:p>
        </w:tc>
      </w:tr>
    </w:tbl>
    <w:p>
      <w:pPr>
        <w:sectPr>
          <w:headerReference w:type="default" r:id="rId5"/>
          <w:headerReference w:type="first" r:id="rId6"/>
          <w:footerReference w:type="default" r:id="rId7"/>
          <w:footerReference w:type="first" r:id="rId8"/>
          <w:footnotePr>
            <w:numFmt w:val="decimal"/>
          </w:footnotePr>
          <w:type w:val="nextPage"/>
          <w:pgSz w:w="11906" w:h="16838"/>
          <w:pgMar w:left="1701" w:right="567" w:gutter="0" w:header="709" w:top="766" w:footer="709" w:bottom="2268"/>
          <w:pgNumType w:fmt="decimal"/>
          <w:formProt w:val="false"/>
          <w:titlePg/>
          <w:textDirection w:val="lrTb"/>
          <w:docGrid w:type="default" w:linePitch="360" w:charSpace="16384"/>
        </w:sectPr>
      </w:pPr>
    </w:p>
    <w:p>
      <w:pPr>
        <w:pStyle w:val="Normal"/>
        <w:ind w:right="96" w:hanging="0"/>
        <w:jc w:val="right"/>
        <w:rPr>
          <w:sz w:val="24"/>
          <w:szCs w:val="24"/>
        </w:rPr>
      </w:pPr>
      <w:r>
        <w:rPr>
          <w:sz w:val="24"/>
          <w:szCs w:val="24"/>
        </w:rPr>
        <w:t>Приложение № 1</w:t>
      </w:r>
    </w:p>
    <w:p>
      <w:pPr>
        <w:pStyle w:val="Normal"/>
        <w:ind w:left="5103" w:right="96" w:hanging="0"/>
        <w:jc w:val="right"/>
        <w:rPr>
          <w:sz w:val="24"/>
          <w:szCs w:val="24"/>
        </w:rPr>
      </w:pPr>
      <w:r>
        <w:rPr>
          <w:sz w:val="24"/>
          <w:szCs w:val="24"/>
        </w:rPr>
        <w:t>к Договору поставки</w:t>
      </w:r>
    </w:p>
    <w:p>
      <w:pPr>
        <w:pStyle w:val="Normal"/>
        <w:ind w:left="5103" w:right="96" w:hanging="0"/>
        <w:jc w:val="right"/>
        <w:rPr>
          <w:sz w:val="24"/>
          <w:szCs w:val="24"/>
        </w:rPr>
      </w:pPr>
      <w:r>
        <w:rPr>
          <w:sz w:val="24"/>
          <w:szCs w:val="24"/>
        </w:rPr>
        <w:t>от «____» __________ 2026 г. №</w:t>
      </w:r>
      <w:r>
        <w:rPr>
          <w:bCs/>
          <w:sz w:val="24"/>
          <w:szCs w:val="24"/>
        </w:rPr>
        <w:t xml:space="preserve"> 8-ТПиР-ОНМ-2026-ЖиГЭС</w:t>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val="04a0" w:noHBand="0" w:noVBand="1" w:firstColumn="1" w:lastRow="0" w:lastColumn="0" w:firstRow="1"/>
      </w:tblPr>
      <w:tblGrid>
        <w:gridCol w:w="608"/>
        <w:gridCol w:w="1425"/>
        <w:gridCol w:w="1087"/>
        <w:gridCol w:w="676"/>
        <w:gridCol w:w="902"/>
        <w:gridCol w:w="1151"/>
        <w:gridCol w:w="977"/>
        <w:gridCol w:w="1150"/>
        <w:gridCol w:w="1086"/>
        <w:gridCol w:w="813"/>
        <w:gridCol w:w="1015"/>
        <w:gridCol w:w="866"/>
        <w:gridCol w:w="868"/>
        <w:gridCol w:w="1070"/>
        <w:gridCol w:w="876"/>
      </w:tblGrid>
      <w:tr>
        <w:trPr>
          <w:trHeight w:val="526" w:hRule="atLeast"/>
        </w:trPr>
        <w:tc>
          <w:tcPr>
            <w:tcW w:w="6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r>
              <w:rPr>
                <w:bCs/>
              </w:rPr>
              <w:t>поз.</w:t>
            </w:r>
          </w:p>
        </w:tc>
        <w:tc>
          <w:tcPr>
            <w:tcW w:w="14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Наименование Товара</w:t>
            </w:r>
          </w:p>
        </w:tc>
        <w:tc>
          <w:tcPr>
            <w:tcW w:w="108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Артикул, тип, марка</w:t>
            </w:r>
          </w:p>
        </w:tc>
        <w:tc>
          <w:tcPr>
            <w:tcW w:w="6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Завод изготовитель</w:t>
            </w:r>
          </w:p>
        </w:tc>
        <w:tc>
          <w:tcPr>
            <w:tcW w:w="9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Страна происхождения Товара</w:t>
            </w:r>
            <w:r>
              <w:rPr>
                <w:rStyle w:val="FootnoteReference"/>
                <w:bCs/>
              </w:rPr>
              <w:footnoteReference w:id="7"/>
            </w:r>
          </w:p>
        </w:tc>
        <w:tc>
          <w:tcPr>
            <w:tcW w:w="11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t>Страна регистрации производителя Товара</w:t>
            </w:r>
          </w:p>
        </w:tc>
        <w:tc>
          <w:tcPr>
            <w:tcW w:w="9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Код ОКПД 2 (с наименованием)</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Единица измерения</w:t>
            </w:r>
          </w:p>
        </w:tc>
        <w:tc>
          <w:tcPr>
            <w:tcW w:w="108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
                <w:bCs/>
              </w:rPr>
            </w:pPr>
            <w:r>
              <w:rPr>
                <w:b/>
                <w:bCs/>
              </w:rPr>
            </w:r>
          </w:p>
          <w:p>
            <w:pPr>
              <w:pStyle w:val="Normal"/>
              <w:widowControl w:val="false"/>
              <w:jc w:val="center"/>
              <w:rPr>
                <w:bCs/>
              </w:rPr>
            </w:pPr>
            <w:r>
              <w:rPr>
                <w:bCs/>
                <w:highlight w:val="lightGray"/>
              </w:rPr>
              <w:t>Порядковый номер(а) реестровой(ых) записи(ей)</w:t>
            </w:r>
            <w:r>
              <w:rPr>
                <w:rStyle w:val="FootnoteReference"/>
                <w:bCs/>
                <w:highlight w:val="lightGray"/>
              </w:rPr>
              <w:footnoteReference w:id="8"/>
            </w:r>
          </w:p>
          <w:p>
            <w:pPr>
              <w:pStyle w:val="Normal"/>
              <w:widowControl w:val="false"/>
              <w:jc w:val="center"/>
              <w:rPr>
                <w:bCs/>
              </w:rPr>
            </w:pPr>
            <w:r>
              <w:rPr>
                <w:bCs/>
              </w:rPr>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Количество</w:t>
            </w:r>
          </w:p>
        </w:tc>
        <w:tc>
          <w:tcPr>
            <w:tcW w:w="10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за единицу, руб. без НДС</w:t>
            </w:r>
          </w:p>
        </w:tc>
        <w:tc>
          <w:tcPr>
            <w:tcW w:w="8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руб. без НДС</w:t>
            </w:r>
          </w:p>
        </w:tc>
        <w:tc>
          <w:tcPr>
            <w:tcW w:w="8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НДС</w:t>
            </w:r>
          </w:p>
          <w:p>
            <w:pPr>
              <w:pStyle w:val="Normal"/>
              <w:widowControl w:val="false"/>
              <w:jc w:val="center"/>
              <w:rPr>
                <w:bCs/>
              </w:rPr>
            </w:pPr>
            <w:r>
              <w:rPr>
                <w:bCs/>
              </w:rPr>
              <w:t>(22 %) руб.</w:t>
            </w:r>
          </w:p>
        </w:tc>
        <w:tc>
          <w:tcPr>
            <w:tcW w:w="10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Стоимость, руб., с НДС</w:t>
            </w:r>
          </w:p>
        </w:tc>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6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highlight w:val="lightGray"/>
              </w:rPr>
            </w:pPr>
            <w:r>
              <w:rPr/>
              <w:t>1</w:t>
            </w:r>
          </w:p>
        </w:tc>
        <w:tc>
          <w:tcPr>
            <w:tcW w:w="1425"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ОКПД2 26.51.53.190. Поставка титратора потенциометрического автоматического (1 шт.) для нужд Филиала ПАО "РусГидро" - "Жигулевская ГЭС"</w:t>
            </w:r>
          </w:p>
        </w:tc>
        <w:tc>
          <w:tcPr>
            <w:tcW w:w="108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lang w:val="en-US"/>
              </w:rPr>
            </w:pPr>
            <w:r>
              <w:rPr/>
              <w:t>Титратор потенциометрическ</w:t>
            </w:r>
            <w:r>
              <w:rPr>
                <w:lang w:val="en-US"/>
              </w:rPr>
              <w:t>ий</w:t>
            </w:r>
            <w:r>
              <w:rPr/>
              <w:t xml:space="preserve"> автоматическ</w:t>
            </w:r>
            <w:r>
              <w:rPr>
                <w:lang w:val="en-US"/>
              </w:rPr>
              <w:t>ий</w:t>
            </w:r>
          </w:p>
        </w:tc>
        <w:tc>
          <w:tcPr>
            <w:tcW w:w="6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РФ</w:t>
            </w:r>
          </w:p>
        </w:tc>
        <w:tc>
          <w:tcPr>
            <w:tcW w:w="11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lang w:val="en-US"/>
              </w:rPr>
            </w:pPr>
            <w:r>
              <w:rPr>
                <w:lang w:val="en-US"/>
              </w:rPr>
              <w:t>РФ</w:t>
            </w:r>
          </w:p>
        </w:tc>
        <w:tc>
          <w:tcPr>
            <w:tcW w:w="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 xml:space="preserve">ОКПД2 26.51.53.190. </w:t>
            </w:r>
            <w:r>
              <w:rPr>
                <w:color w:val="000000"/>
              </w:rPr>
              <w:t>Приборы и аппаратура для физического или химического анализа прочие, не включенные в другие группировки</w:t>
            </w:r>
          </w:p>
        </w:tc>
        <w:tc>
          <w:tcPr>
            <w:tcW w:w="115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Шт.</w:t>
            </w:r>
          </w:p>
        </w:tc>
        <w:tc>
          <w:tcPr>
            <w:tcW w:w="108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8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lang w:val="en-US"/>
              </w:rPr>
            </w:pPr>
            <w:r>
              <w:rPr>
                <w:lang w:val="en-US"/>
              </w:rPr>
              <w:t>1</w:t>
            </w:r>
          </w:p>
        </w:tc>
        <w:tc>
          <w:tcPr>
            <w:tcW w:w="101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8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86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10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lang w:val="en-US"/>
              </w:rPr>
            </w:pPr>
            <w:r>
              <w:rPr>
                <w:lang w:val="en-US"/>
              </w:rPr>
              <w:t>В соотвтетствии ТТ</w:t>
            </w:r>
          </w:p>
        </w:tc>
      </w:tr>
      <w:tr>
        <w:trPr>
          <w:trHeight w:val="62" w:hRule="atLeast"/>
        </w:trPr>
        <w:tc>
          <w:tcPr>
            <w:tcW w:w="12624" w:type="dxa"/>
            <w:gridSpan w:val="13"/>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Итого стоимость всего Товара (с учетом доставки), руб. с НДС:</w:t>
            </w:r>
          </w:p>
        </w:tc>
        <w:tc>
          <w:tcPr>
            <w:tcW w:w="194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r>
    </w:tbl>
    <w:p>
      <w:pPr>
        <w:pStyle w:val="Normal"/>
        <w:rPr>
          <w:i/>
          <w:i/>
          <w:sz w:val="22"/>
          <w:szCs w:val="22"/>
        </w:rPr>
      </w:pPr>
      <w:r>
        <w:rPr>
          <w:i/>
          <w:sz w:val="22"/>
          <w:szCs w:val="22"/>
        </w:rPr>
      </w:r>
    </w:p>
    <w:p>
      <w:pPr>
        <w:pStyle w:val="Normal"/>
        <w:rPr>
          <w:i/>
          <w:i/>
          <w:sz w:val="22"/>
          <w:szCs w:val="22"/>
        </w:rPr>
      </w:pPr>
      <w:r>
        <w:rPr>
          <w:i/>
          <w:sz w:val="22"/>
          <w:szCs w:val="22"/>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jc w:val="both"/>
        <w:rPr>
          <w:i/>
          <w:i/>
          <w:sz w:val="22"/>
          <w:szCs w:val="22"/>
        </w:rPr>
      </w:pPr>
      <w:r>
        <w:rPr>
          <w:i/>
          <w:sz w:val="22"/>
          <w:szCs w:val="22"/>
        </w:rPr>
        <w:t xml:space="preserve">2. По требованию Покупателя Поставщик обязан представить запрашиваемую информацию / документы, расчеты, обосновывающие стоимость доставки. </w:t>
      </w:r>
    </w:p>
    <w:p>
      <w:pPr>
        <w:pStyle w:val="Normal"/>
        <w:rPr>
          <w:i/>
          <w:i/>
          <w:sz w:val="22"/>
          <w:szCs w:val="22"/>
        </w:rPr>
      </w:pPr>
      <w:r>
        <w:rPr>
          <w:i/>
          <w:sz w:val="22"/>
          <w:szCs w:val="22"/>
        </w:rPr>
      </w:r>
    </w:p>
    <w:p>
      <w:pPr>
        <w:pStyle w:val="Normal"/>
        <w:rPr>
          <w:i/>
          <w:i/>
          <w:sz w:val="22"/>
          <w:szCs w:val="22"/>
        </w:rPr>
      </w:pPr>
      <w:r>
        <w:rPr>
          <w:i/>
          <w:sz w:val="22"/>
          <w:szCs w:val="22"/>
        </w:rPr>
      </w:r>
    </w:p>
    <w:tbl>
      <w:tblPr>
        <w:tblW w:w="1457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7286"/>
        <w:gridCol w:w="7283"/>
      </w:tblGrid>
      <w:tr>
        <w:trPr>
          <w:trHeight w:val="269" w:hRule="atLeast"/>
        </w:trPr>
        <w:tc>
          <w:tcPr>
            <w:tcW w:w="7286" w:type="dxa"/>
            <w:tcBorders/>
          </w:tcPr>
          <w:p>
            <w:pPr>
              <w:pStyle w:val="Normal"/>
              <w:widowControl w:val="false"/>
              <w:rPr>
                <w:b/>
                <w:sz w:val="24"/>
              </w:rPr>
            </w:pPr>
            <w:r>
              <w:rPr>
                <w:b/>
                <w:sz w:val="24"/>
              </w:rPr>
              <w:t>Покупатель:</w:t>
            </w:r>
          </w:p>
        </w:tc>
        <w:tc>
          <w:tcPr>
            <w:tcW w:w="7283" w:type="dxa"/>
            <w:tcBorders/>
          </w:tcPr>
          <w:p>
            <w:pPr>
              <w:pStyle w:val="Normal"/>
              <w:widowControl w:val="false"/>
              <w:rPr>
                <w:b/>
                <w:sz w:val="24"/>
              </w:rPr>
            </w:pPr>
            <w:r>
              <w:rPr>
                <w:b/>
                <w:sz w:val="24"/>
              </w:rPr>
              <w:t>Поставщик:</w:t>
            </w:r>
          </w:p>
        </w:tc>
      </w:tr>
    </w:tbl>
    <w:p>
      <w:pPr>
        <w:pStyle w:val="Normal"/>
        <w:rPr/>
      </w:pPr>
      <w:r>
        <w:rPr/>
      </w:r>
    </w:p>
    <w:p>
      <w:pPr>
        <w:pStyle w:val="Normal"/>
        <w:rPr/>
      </w:pPr>
      <w:r>
        <w:rPr/>
        <w:t>Директор филиала</w:t>
      </w:r>
    </w:p>
    <w:p>
      <w:pPr>
        <w:pStyle w:val="Normal"/>
        <w:rPr/>
      </w:pPr>
      <w:r>
        <w:rPr/>
        <w:t xml:space="preserve">ПАО «РусГидро» - «Жигулевская ГЭС» </w:t>
      </w:r>
    </w:p>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1701" w:right="567" w:gutter="0" w:header="567" w:top="624" w:footer="314" w:bottom="2268"/>
          <w:pgNumType w:fmt="decimal"/>
          <w:formProt w:val="false"/>
          <w:textDirection w:val="lrTb"/>
          <w:docGrid w:type="default" w:linePitch="360" w:charSpace="16384"/>
        </w:sectPr>
        <w:pStyle w:val="Normal"/>
        <w:rPr/>
      </w:pPr>
      <w:r>
        <w:rPr/>
        <w:t>__________ /__________</w:t>
        <w:tab/>
        <w:t xml:space="preserve">                                                                                                          ___________ /___________</w:t>
      </w:r>
      <w:r>
        <w:br w:type="page"/>
      </w:r>
    </w:p>
    <w:p>
      <w:pPr>
        <w:pStyle w:val="Normal"/>
        <w:widowControl/>
        <w:rPr>
          <w:sz w:val="22"/>
          <w:szCs w:val="22"/>
        </w:rPr>
      </w:pPr>
      <w:r>
        <w:rPr>
          <w:sz w:val="22"/>
          <w:szCs w:val="22"/>
        </w:rPr>
      </w:r>
    </w:p>
    <w:p>
      <w:pPr>
        <w:pStyle w:val="Normal"/>
        <w:ind w:right="96" w:firstLine="5103"/>
        <w:jc w:val="right"/>
        <w:rPr>
          <w:sz w:val="24"/>
          <w:szCs w:val="24"/>
        </w:rPr>
      </w:pPr>
      <w:r>
        <w:rPr>
          <w:sz w:val="24"/>
          <w:szCs w:val="24"/>
        </w:rPr>
        <w:t>Приложение № 2</w:t>
      </w:r>
    </w:p>
    <w:p>
      <w:pPr>
        <w:pStyle w:val="Normal"/>
        <w:ind w:right="96" w:firstLine="5103"/>
        <w:jc w:val="right"/>
        <w:rPr>
          <w:sz w:val="24"/>
          <w:szCs w:val="24"/>
        </w:rPr>
      </w:pPr>
      <w:r>
        <w:rPr>
          <w:sz w:val="24"/>
          <w:szCs w:val="24"/>
        </w:rPr>
        <w:t xml:space="preserve">к Договору поставки </w:t>
      </w:r>
    </w:p>
    <w:p>
      <w:pPr>
        <w:pStyle w:val="Normal"/>
        <w:widowControl/>
        <w:ind w:firstLine="567"/>
        <w:jc w:val="right"/>
        <w:rPr>
          <w:rFonts w:eastAsia="Calibri"/>
          <w:b/>
          <w:sz w:val="24"/>
          <w:szCs w:val="24"/>
          <w:lang w:eastAsia="en-US"/>
        </w:rPr>
      </w:pPr>
      <w:r>
        <w:rPr>
          <w:sz w:val="24"/>
          <w:szCs w:val="24"/>
        </w:rPr>
        <w:t>от «____» __________ 2026 г. № 8-ТПиР-ОНМ-2026-ЖиГЭС</w:t>
      </w:r>
    </w:p>
    <w:p>
      <w:pPr>
        <w:pStyle w:val="Normal"/>
        <w:widowControl/>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spacing w:before="0" w:after="0"/>
        <w:contextualSpacing/>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rPr>
          <w:b/>
          <w:sz w:val="24"/>
          <w:szCs w:val="24"/>
        </w:rPr>
      </w:pPr>
      <w:r>
        <w:rPr>
          <w:b/>
          <w:sz w:val="24"/>
          <w:szCs w:val="24"/>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t>Директор филиала</w:t>
            </w:r>
          </w:p>
          <w:p>
            <w:pPr>
              <w:pStyle w:val="Normal"/>
              <w:widowControl w:val="false"/>
              <w:rPr>
                <w:sz w:val="24"/>
                <w:szCs w:val="24"/>
              </w:rPr>
            </w:pPr>
            <w:r>
              <w:rPr>
                <w:sz w:val="24"/>
                <w:szCs w:val="24"/>
              </w:rPr>
              <w:t xml:space="preserve">ПАО «РусГидро» - «Жигулевская ГЭС» </w:t>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t>_____________________/_____________</w:t>
            </w:r>
          </w:p>
          <w:p>
            <w:pPr>
              <w:pStyle w:val="Normal"/>
              <w:widowControl w:val="false"/>
              <w:spacing w:lineRule="auto" w:line="360"/>
              <w:rPr>
                <w:sz w:val="24"/>
                <w:szCs w:val="24"/>
              </w:rPr>
            </w:pPr>
            <w:r>
              <w:rPr>
                <w:sz w:val="24"/>
                <w:szCs w:val="24"/>
              </w:rPr>
            </w:r>
          </w:p>
        </w:tc>
        <w:tc>
          <w:tcPr>
            <w:tcW w:w="4819" w:type="dxa"/>
            <w:tcBorders/>
            <w:shd w:color="auto" w:fill="auto" w:val="clear"/>
          </w:tcPr>
          <w:p>
            <w:pPr>
              <w:pStyle w:val="Normal"/>
              <w:widowControl w:val="false"/>
              <w:rPr>
                <w:b/>
                <w:sz w:val="24"/>
                <w:szCs w:val="24"/>
              </w:rPr>
            </w:pPr>
            <w:r>
              <w:rPr>
                <w:b/>
                <w:sz w:val="24"/>
                <w:szCs w:val="24"/>
              </w:rPr>
              <w:t>Поставщик:</w:t>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t>_____________________/_____________</w:t>
            </w:r>
          </w:p>
          <w:p>
            <w:pPr>
              <w:pStyle w:val="Normal"/>
              <w:widowControl w:val="false"/>
              <w:spacing w:lineRule="auto" w:line="360"/>
              <w:ind w:firstLine="33"/>
              <w:rPr>
                <w:b/>
                <w:sz w:val="24"/>
                <w:szCs w:val="24"/>
              </w:rPr>
            </w:pPr>
            <w:r>
              <w:rPr>
                <w:b/>
                <w:sz w:val="24"/>
                <w:szCs w:val="24"/>
              </w:rPr>
            </w:r>
          </w:p>
        </w:tc>
      </w:tr>
    </w:tbl>
    <w:p>
      <w:pPr>
        <w:pStyle w:val="Normal"/>
        <w:ind w:right="96" w:firstLine="6237"/>
        <w:rPr>
          <w:sz w:val="24"/>
          <w:szCs w:val="24"/>
        </w:rPr>
      </w:pPr>
      <w:r>
        <w:rPr>
          <w:sz w:val="24"/>
          <w:szCs w:val="24"/>
        </w:rPr>
      </w:r>
    </w:p>
    <w:p>
      <w:pPr>
        <w:pStyle w:val="Normal"/>
        <w:widowControl/>
        <w:rPr>
          <w:sz w:val="24"/>
          <w:szCs w:val="24"/>
        </w:rPr>
      </w:pPr>
      <w:r>
        <w:rPr>
          <w:sz w:val="24"/>
          <w:szCs w:val="24"/>
        </w:rPr>
      </w:r>
      <w:r>
        <w:br w:type="page"/>
      </w:r>
    </w:p>
    <w:p>
      <w:pPr>
        <w:pStyle w:val="Normal"/>
        <w:ind w:right="96" w:firstLine="5529"/>
        <w:jc w:val="right"/>
        <w:rPr>
          <w:sz w:val="22"/>
          <w:szCs w:val="22"/>
        </w:rPr>
      </w:pPr>
      <w:r>
        <w:rPr>
          <w:sz w:val="22"/>
          <w:szCs w:val="22"/>
        </w:rPr>
        <w:t>Приложение № 3</w:t>
      </w:r>
    </w:p>
    <w:p>
      <w:pPr>
        <w:pStyle w:val="Normal"/>
        <w:ind w:right="96" w:firstLine="5529"/>
        <w:jc w:val="right"/>
        <w:rPr>
          <w:sz w:val="22"/>
          <w:szCs w:val="22"/>
        </w:rPr>
      </w:pPr>
      <w:r>
        <w:rPr>
          <w:sz w:val="22"/>
          <w:szCs w:val="22"/>
        </w:rPr>
        <w:t>к Договору поставки</w:t>
      </w:r>
    </w:p>
    <w:p>
      <w:pPr>
        <w:pStyle w:val="Normal"/>
        <w:widowControl/>
        <w:spacing w:lineRule="auto" w:line="259"/>
        <w:jc w:val="right"/>
        <w:rPr>
          <w:sz w:val="22"/>
          <w:szCs w:val="22"/>
        </w:rPr>
      </w:pPr>
      <w:r>
        <w:rPr>
          <w:sz w:val="22"/>
          <w:szCs w:val="22"/>
        </w:rPr>
        <w:t>от «____» __________ 2026 г. № 8-ТПиР-ОНМ-2026-ЖиГЭС</w:t>
      </w:r>
      <w:bookmarkStart w:id="10" w:name="_GoBack"/>
      <w:bookmarkEnd w:id="10"/>
    </w:p>
    <w:p>
      <w:pPr>
        <w:pStyle w:val="Normal"/>
        <w:widowControl/>
        <w:spacing w:lineRule="auto" w:line="259"/>
        <w:jc w:val="right"/>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71"/>
        <w:gridCol w:w="5966"/>
      </w:tblGrid>
      <w:tr>
        <w:trPr/>
        <w:tc>
          <w:tcPr>
            <w:tcW w:w="3671"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1.1. Нарушение ППБ без возникновения пожара</w:t>
            </w:r>
          </w:p>
          <w:p>
            <w:pPr>
              <w:pStyle w:val="Normal"/>
              <w:widowControl w:val="false"/>
              <w:jc w:val="both"/>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 xml:space="preserve">Сумма штрафа, установленная настоящим пунктом, увеличивается на 100 (Сто) процентов по отношению </w:t>
              <w:br/>
              <w:t>к предыдущему случаю за каждое следующее нарушение.</w:t>
            </w:r>
          </w:p>
        </w:tc>
      </w:tr>
      <w:tr>
        <w:trPr/>
        <w:tc>
          <w:tcPr>
            <w:tcW w:w="367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 xml:space="preserve">Сумма штрафа, установленная настоящим пунктом, увеличивается на 100 (Сто) процентов по отношению </w:t>
              <w:br/>
              <w:t>к предыдущему случаю за каждое следующее нарушение.</w:t>
            </w:r>
          </w:p>
        </w:tc>
      </w:tr>
    </w:tbl>
    <w:p>
      <w:pPr>
        <w:pStyle w:val="Normal"/>
        <w:ind w:left="5103" w:hanging="0"/>
        <w:rPr>
          <w:sz w:val="24"/>
          <w:szCs w:val="24"/>
        </w:rPr>
      </w:pPr>
      <w:r>
        <w:rPr>
          <w:sz w:val="24"/>
          <w:szCs w:val="24"/>
        </w:rPr>
      </w:r>
    </w:p>
    <w:p>
      <w:pPr>
        <w:pStyle w:val="Normal"/>
        <w:ind w:left="5103" w:hanging="0"/>
        <w:rPr>
          <w:sz w:val="24"/>
          <w:szCs w:val="24"/>
        </w:rPr>
      </w:pPr>
      <w:r>
        <w:rPr>
          <w:sz w:val="24"/>
          <w:szCs w:val="24"/>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t>Директор филиала</w:t>
            </w:r>
          </w:p>
          <w:p>
            <w:pPr>
              <w:pStyle w:val="Normal"/>
              <w:widowControl w:val="false"/>
              <w:rPr>
                <w:sz w:val="24"/>
                <w:szCs w:val="24"/>
              </w:rPr>
            </w:pPr>
            <w:r>
              <w:rPr>
                <w:sz w:val="24"/>
                <w:szCs w:val="24"/>
              </w:rPr>
              <w:t xml:space="preserve">ПАО «РусГидро» - «Жигулевская ГЭС» </w:t>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t>_____________________/_____________</w:t>
            </w:r>
          </w:p>
          <w:p>
            <w:pPr>
              <w:pStyle w:val="Normal"/>
              <w:widowControl w:val="false"/>
              <w:spacing w:lineRule="auto" w:line="360"/>
              <w:rPr>
                <w:sz w:val="24"/>
                <w:szCs w:val="24"/>
              </w:rPr>
            </w:pPr>
            <w:r>
              <w:rPr>
                <w:sz w:val="24"/>
                <w:szCs w:val="24"/>
              </w:rPr>
            </w:r>
          </w:p>
        </w:tc>
        <w:tc>
          <w:tcPr>
            <w:tcW w:w="4819"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t>____________________/_____________</w:t>
            </w:r>
          </w:p>
          <w:p>
            <w:pPr>
              <w:pStyle w:val="Normal"/>
              <w:widowControl w:val="false"/>
              <w:spacing w:lineRule="auto" w:line="360"/>
              <w:ind w:firstLine="33"/>
              <w:rPr>
                <w:b/>
                <w:sz w:val="24"/>
                <w:szCs w:val="24"/>
              </w:rPr>
            </w:pPr>
            <w:r>
              <w:rPr>
                <w:b/>
                <w:sz w:val="24"/>
                <w:szCs w:val="24"/>
              </w:rPr>
            </w:r>
          </w:p>
        </w:tc>
      </w:tr>
    </w:tbl>
    <w:p>
      <w:pPr>
        <w:pStyle w:val="Normal"/>
        <w:ind w:left="5103" w:hanging="0"/>
        <w:rPr>
          <w:b/>
          <w:bCs/>
          <w:sz w:val="24"/>
          <w:szCs w:val="24"/>
        </w:rPr>
      </w:pPr>
      <w:r>
        <w:rPr>
          <w:b/>
          <w:bCs/>
          <w:sz w:val="24"/>
          <w:szCs w:val="24"/>
        </w:rPr>
      </w:r>
    </w:p>
    <w:p>
      <w:pPr>
        <w:pStyle w:val="Normal"/>
        <w:widowControl/>
        <w:rPr>
          <w:b/>
          <w:bCs/>
          <w:sz w:val="24"/>
          <w:szCs w:val="24"/>
        </w:rPr>
      </w:pPr>
      <w:r>
        <w:rPr/>
      </w:r>
    </w:p>
    <w:sectPr>
      <w:headerReference w:type="default" r:id="rId13"/>
      <w:headerReference w:type="first" r:id="rId14"/>
      <w:footerReference w:type="default" r:id="rId15"/>
      <w:footerReference w:type="first" r:id="rId16"/>
      <w:footnotePr>
        <w:numFmt w:val="decimal"/>
      </w:footnotePr>
      <w:type w:val="nextPage"/>
      <w:pgSz w:w="11906" w:h="16838"/>
      <w:pgMar w:left="1701" w:right="567" w:gutter="0" w:header="567" w:top="624" w:footer="314" w:bottom="226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Calibri Light">
    <w:charset w:val="01"/>
    <w:family w:val="roman"/>
    <w:pitch w:val="variable"/>
  </w:font>
  <w:font w:name="Liberation Sans">
    <w:altName w:val="Arial"/>
    <w:charset w:val="01"/>
    <w:family w:val="swiss"/>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TimesNewRomanPS-BoldMT">
    <w:charset w:val="01"/>
    <w:family w:val="roman"/>
    <w:pitch w:val="variable"/>
  </w:font>
  <w:font w:name="TimesNewRomanPSMT">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53159285"/>
    </w:sdtPr>
    <w:sdtContent>
      <w:p>
        <w:pPr>
          <w:pStyle w:val="Footer"/>
          <w:jc w:val="center"/>
          <w:rPr>
            <w:sz w:val="24"/>
            <w:szCs w:val="24"/>
          </w:rPr>
        </w:pPr>
        <w:r>
          <w:rPr>
            <w:sz w:val="24"/>
            <w:szCs w:val="24"/>
          </w:rPr>
          <w:fldChar w:fldCharType="begin"/>
        </w:r>
        <w:r>
          <w:rPr>
            <w:sz w:val="24"/>
            <w:szCs w:val="24"/>
          </w:rPr>
          <w:instrText xml:space="preserve"> PAGE </w:instrText>
        </w:r>
        <w:r>
          <w:rPr>
            <w:sz w:val="24"/>
            <w:szCs w:val="24"/>
          </w:rPr>
          <w:fldChar w:fldCharType="separate"/>
        </w:r>
        <w:r>
          <w:rPr>
            <w:sz w:val="24"/>
            <w:szCs w:val="24"/>
          </w:rPr>
          <w:t>18</w:t>
        </w:r>
        <w:r>
          <w:rPr>
            <w:sz w:val="24"/>
            <w:szCs w:val="24"/>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28723818"/>
    </w:sdtPr>
    <w:sdtContent>
      <w:p>
        <w:pPr>
          <w:pStyle w:val="Footer"/>
          <w:jc w:val="center"/>
          <w:rPr>
            <w:sz w:val="24"/>
            <w:szCs w:val="24"/>
          </w:rP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55955322"/>
    </w:sdtPr>
    <w:sdtContent>
      <w:p>
        <w:pPr>
          <w:pStyle w:val="Footer"/>
          <w:jc w:val="center"/>
          <w:rPr>
            <w:sz w:val="24"/>
            <w:szCs w:val="24"/>
          </w:rPr>
        </w:pPr>
        <w:r>
          <w:rPr>
            <w:sz w:val="24"/>
            <w:szCs w:val="24"/>
          </w:rPr>
          <w:fldChar w:fldCharType="begin"/>
        </w:r>
        <w:r>
          <w:rPr>
            <w:sz w:val="24"/>
            <w:szCs w:val="24"/>
          </w:rPr>
          <w:instrText xml:space="preserve"> PAGE </w:instrText>
        </w:r>
        <w:r>
          <w:rPr>
            <w:sz w:val="24"/>
            <w:szCs w:val="24"/>
          </w:rPr>
          <w:fldChar w:fldCharType="separate"/>
        </w:r>
        <w:r>
          <w:rPr>
            <w:sz w:val="24"/>
            <w:szCs w:val="24"/>
          </w:rPr>
          <w:t>20</w:t>
        </w:r>
        <w:r>
          <w:rPr>
            <w:sz w:val="24"/>
            <w:szCs w:val="24"/>
          </w:rPr>
          <w:fldChar w:fldCharType="end"/>
        </w:r>
      </w:p>
    </w:sdtContent>
  </w:sdt>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89056068"/>
    </w:sdtPr>
    <w:sdtContent>
      <w:p>
        <w:pPr>
          <w:pStyle w:val="Footer"/>
          <w:jc w:val="center"/>
          <w:rPr>
            <w:sz w:val="24"/>
            <w:szCs w:val="24"/>
          </w:rPr>
        </w:pPr>
        <w:r>
          <w:rPr>
            <w:sz w:val="24"/>
            <w:szCs w:val="24"/>
          </w:rPr>
          <w:fldChar w:fldCharType="begin"/>
        </w:r>
        <w:r>
          <w:rPr>
            <w:sz w:val="24"/>
            <w:szCs w:val="24"/>
          </w:rPr>
          <w:instrText xml:space="preserve"> PAGE </w:instrText>
        </w:r>
        <w:r>
          <w:rPr>
            <w:sz w:val="24"/>
            <w:szCs w:val="24"/>
          </w:rPr>
          <w:fldChar w:fldCharType="separate"/>
        </w:r>
        <w:r>
          <w:rPr>
            <w:sz w:val="24"/>
            <w:szCs w:val="24"/>
          </w:rPr>
          <w:t>22</w:t>
        </w:r>
        <w:r>
          <w:rPr>
            <w:sz w:val="24"/>
            <w:szCs w:val="24"/>
          </w:rPr>
          <w:fldChar w:fldCharType="end"/>
        </w:r>
      </w:p>
    </w:sdtContent>
  </w:sdt>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3"/>
        </w:rPr>
        <w:footnoteRef/>
      </w:r>
      <w:r>
        <w:rPr/>
        <w:t xml:space="preserve"> </w:t>
      </w:r>
      <w:r>
        <w:rPr/>
        <w:t>Включается в Договор в случае, если перемещение Товара осуществляется Поставщиком до подписания Сторонами Накладной ТОРГ-12.</w:t>
      </w:r>
    </w:p>
  </w:footnote>
  <w:footnote w:id="3">
    <w:p>
      <w:pPr>
        <w:pStyle w:val="FootnoteText"/>
        <w:jc w:val="both"/>
        <w:rPr/>
      </w:pPr>
      <w:r>
        <w:rPr>
          <w:rStyle w:val="Style13"/>
        </w:rPr>
        <w:footnoteRef/>
      </w:r>
      <w:r>
        <w:rPr/>
        <w:t xml:space="preserve"> </w:t>
      </w:r>
      <w:r>
        <w:rPr/>
        <w:t>Включается в Договор в случае, если перемещение Товара осуществляется Поставщиком до подписания Сторонами Накладной ТОРГ-12.</w:t>
      </w:r>
    </w:p>
  </w:footnote>
  <w:footnote w:id="4">
    <w:p>
      <w:pPr>
        <w:pStyle w:val="FootnoteText"/>
        <w:jc w:val="both"/>
        <w:rPr/>
      </w:pPr>
      <w:r>
        <w:rPr>
          <w:rStyle w:val="Style13"/>
        </w:rPr>
        <w:footnoteRef/>
      </w:r>
      <w:r>
        <w:rP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t>.</w:t>
      </w:r>
    </w:p>
  </w:footnote>
  <w:footnote w:id="5">
    <w:p>
      <w:pPr>
        <w:pStyle w:val="FootnoteText"/>
        <w:jc w:val="both"/>
        <w:rPr/>
      </w:pPr>
      <w:r>
        <w:rPr>
          <w:rStyle w:val="Style13"/>
        </w:rPr>
        <w:footnoteRef/>
      </w:r>
      <w:r>
        <w:rPr/>
        <w:t xml:space="preserve"> </w:t>
      </w:r>
      <w:r>
        <w:rPr/>
        <w:t>В случае если Поставщик является СМП, уступка (передача) им прав (требований) к Покупателю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Покупателя, в котором не может быть необоснованно отказано.</w:t>
      </w:r>
    </w:p>
  </w:footnote>
  <w:footnote w:id="6">
    <w:p>
      <w:pPr>
        <w:pStyle w:val="FootnoteText"/>
        <w:jc w:val="both"/>
        <w:rPr/>
      </w:pPr>
      <w:r>
        <w:rPr>
          <w:rStyle w:val="Style13"/>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7">
    <w:p>
      <w:pPr>
        <w:pStyle w:val="FootnoteText"/>
        <w:jc w:val="both"/>
        <w:rPr/>
      </w:pPr>
      <w:r>
        <w:rPr>
          <w:rStyle w:val="Style13"/>
        </w:rPr>
        <w:footnoteRef/>
      </w:r>
      <w:r>
        <w:rPr/>
        <w:t xml:space="preserve"> </w:t>
      </w:r>
      <w:r>
        <w:rPr/>
        <w:t xml:space="preserve">В соответствии с Общероссийским классификатором стран мира (утв. постановлением Госстандарта России </w:t>
        <w:br/>
        <w:t>от 14.12.2001 № 529-ст).</w:t>
      </w:r>
    </w:p>
  </w:footnote>
  <w:footnote w:id="8">
    <w:p>
      <w:pPr>
        <w:pStyle w:val="FootnoteText"/>
        <w:jc w:val="both"/>
        <w:rPr/>
      </w:pPr>
      <w:r>
        <w:rPr>
          <w:rStyle w:val="Style13"/>
        </w:rPr>
        <w:footnoteRef/>
      </w:r>
      <w:r>
        <w:rPr/>
        <w:t xml:space="preserve"> </w:t>
      </w:r>
      <w:r>
        <w:rPr>
          <w:bCs/>
        </w:rPr>
        <w:t>Порядковый номер (номера) реестровой записи (реестровых записей), под которой (которыми) Товар  включен в реестры, предусмотренные пунктом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r>
        <w:rPr>
          <w:rFonts w:eastAsia="Calibri" w:eastAsiaTheme="minorHAnsi"/>
          <w:lang w:eastAsia="en-US"/>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center" w:pos="4153" w:leader="none"/>
        <w:tab w:val="right" w:pos="8364" w:leader="none"/>
      </w:tabs>
      <w:ind w:left="8364" w:hanging="426"/>
      <w:rPr>
        <w:i/>
        <w:i/>
      </w:rPr>
    </w:pPr>
    <w:r>
      <w:rPr/>
      <w:t xml:space="preserve">ТФД № </w:t>
    </w:r>
    <w:r>
      <w:rPr>
        <w:lang w:val="en-US"/>
      </w:rPr>
      <w:t>2</w:t>
    </w:r>
    <w:r>
      <w:rPr/>
      <w:t>.2.3.</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t xml:space="preserve"> </w:t>
    </w:r>
    <w:r>
      <w:rPr/>
      <w:t>ТФД № 2.2.3.</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284"/>
        </w:tabs>
        <w:ind w:left="1284" w:hanging="432"/>
      </w:pPr>
      <w:rPr>
        <w:sz w:val="24"/>
        <w:b w:val="false"/>
        <w:szCs w:val="24"/>
      </w:rPr>
    </w:lvl>
    <w:lvl w:ilvl="2">
      <w:start w:val="1"/>
      <w:numFmt w:val="decimal"/>
      <w:lvlText w:val="%1.%2.%3."/>
      <w:lvlJc w:val="left"/>
      <w:pPr>
        <w:tabs>
          <w:tab w:val="num" w:pos="1855"/>
        </w:tabs>
        <w:ind w:left="1639" w:hanging="504"/>
      </w:pPr>
      <w:rPr>
        <w:sz w:val="24"/>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2"/>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lvl>
    <w:lvl w:ilvl="2">
      <w:start w:val="2"/>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90"/>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enforcement="1"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paragraph" w:styleId="Heading4">
    <w:name w:val="Heading 4"/>
    <w:basedOn w:val="Normal"/>
    <w:next w:val="Normal"/>
    <w:link w:val="4"/>
    <w:semiHidden/>
    <w:unhideWhenUsed/>
    <w:qFormat/>
    <w:rsid w:val="0042219e"/>
    <w:pPr>
      <w:keepNext w:val="true"/>
      <w:keepLines/>
      <w:spacing w:before="40" w:after="0"/>
      <w:outlineLvl w:val="3"/>
    </w:pPr>
    <w:rPr>
      <w:rFonts w:ascii="Calibri Light" w:hAnsi="Calibri Light" w:eastAsia="" w:cs="" w:asciiTheme="majorHAnsi" w:cstheme="majorBidi" w:eastAsiaTheme="majorEastAsia" w:hAnsiTheme="majorHAnsi"/>
      <w:i/>
      <w:iCs/>
      <w:color w:val="2E74B5" w:themeColor="accent1" w:themeShade="bf"/>
    </w:rPr>
  </w:style>
  <w:style w:type="character" w:styleId="DefaultParagraphFont" w:default="1">
    <w:name w:val="Default Paragraph Font"/>
    <w:uiPriority w:val="1"/>
    <w:semiHidden/>
    <w:unhideWhenUsed/>
    <w:qFormat/>
    <w:rPr/>
  </w:style>
  <w:style w:type="character" w:styleId="Style6" w:customStyle="1">
    <w:name w:val="Заголовок Знак"/>
    <w:qFormat/>
    <w:locked/>
    <w:rsid w:val="00565582"/>
    <w:rPr>
      <w:b/>
      <w:bCs/>
      <w:sz w:val="24"/>
      <w:szCs w:val="24"/>
      <w:lang w:val="ru-RU" w:eastAsia="ru-RU" w:bidi="ar-SA"/>
    </w:rPr>
  </w:style>
  <w:style w:type="character" w:styleId="Style7"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8" w:customStyle="1">
    <w:name w:val="Текст примечания Знак"/>
    <w:basedOn w:val="DefaultParagraphFont"/>
    <w:link w:val="Annotationtext"/>
    <w:qFormat/>
    <w:rsid w:val="00d36934"/>
    <w:rPr/>
  </w:style>
  <w:style w:type="character" w:styleId="Style9" w:customStyle="1">
    <w:name w:val="Тема примечания Знак"/>
    <w:link w:val="Annotationsubject"/>
    <w:uiPriority w:val="99"/>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0" w:customStyle="1">
    <w:name w:val="Основной текст с отступом Знак"/>
    <w:basedOn w:val="DefaultParagraphFont"/>
    <w:qFormat/>
    <w:rsid w:val="00e00bca"/>
    <w:rPr/>
  </w:style>
  <w:style w:type="character" w:styleId="Style11" w:customStyle="1">
    <w:name w:val="комментарий"/>
    <w:uiPriority w:val="99"/>
    <w:qFormat/>
    <w:rsid w:val="00d562c0"/>
    <w:rPr>
      <w:rFonts w:cs="Times New Roman"/>
      <w:b/>
      <w:bCs/>
      <w:i/>
      <w:iCs/>
      <w:shd w:fill="FFFF99" w:val="clear"/>
    </w:rPr>
  </w:style>
  <w:style w:type="character" w:styleId="Style12" w:customStyle="1">
    <w:name w:val="Текст сноски Знак"/>
    <w:basedOn w:val="DefaultParagraphFont"/>
    <w:uiPriority w:val="99"/>
    <w:qFormat/>
    <w:rsid w:val="00f47c6a"/>
    <w:rPr/>
  </w:style>
  <w:style w:type="character" w:styleId="Style13" w:customStyle="1">
    <w:name w:val="Символ сноски"/>
    <w:uiPriority w:val="99"/>
    <w:qFormat/>
    <w:rsid w:val="00f47c6a"/>
    <w:rPr>
      <w:vertAlign w:val="superscript"/>
    </w:rPr>
  </w:style>
  <w:style w:type="character" w:styleId="FootnoteReference">
    <w:name w:val="Footnote Reference"/>
    <w:rPr>
      <w:vertAlign w:val="superscript"/>
    </w:rPr>
  </w:style>
  <w:style w:type="character" w:styleId="Style14"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5" w:customStyle="1">
    <w:name w:val="Нижний колонтитул Знак"/>
    <w:uiPriority w:val="99"/>
    <w:qFormat/>
    <w:rsid w:val="00d925fb"/>
    <w:rPr/>
  </w:style>
  <w:style w:type="character" w:styleId="Style16" w:customStyle="1">
    <w:name w:val="Абзац списка Знак"/>
    <w:link w:val="ListParagraph"/>
    <w:uiPriority w:val="34"/>
    <w:qFormat/>
    <w:locked/>
    <w:rsid w:val="00182860"/>
    <w:rPr/>
  </w:style>
  <w:style w:type="character" w:styleId="4" w:customStyle="1">
    <w:name w:val="Заголовок 4 Знак"/>
    <w:basedOn w:val="DefaultParagraphFont"/>
    <w:semiHidden/>
    <w:qFormat/>
    <w:rsid w:val="0042219e"/>
    <w:rPr>
      <w:rFonts w:ascii="Calibri Light" w:hAnsi="Calibri Light" w:eastAsia="" w:cs="" w:asciiTheme="majorHAnsi" w:cstheme="majorBidi" w:eastAsiaTheme="majorEastAsia" w:hAnsiTheme="majorHAnsi"/>
      <w:i/>
      <w:iCs/>
      <w:color w:val="2E74B5" w:themeColor="accent1" w:themeShade="bf"/>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paragraph" w:styleId="Style18">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7"/>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Title">
    <w:name w:val="Title"/>
    <w:basedOn w:val="Normal"/>
    <w:next w:val="BodyText"/>
    <w:link w:val="Style6"/>
    <w:qFormat/>
    <w:rsid w:val="00a264b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Style20"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1" w:customStyle="1">
    <w:name w:val="Колонтитул"/>
    <w:basedOn w:val="Normal"/>
    <w:qFormat/>
    <w:pPr/>
    <w:rPr/>
  </w:style>
  <w:style w:type="paragraph" w:styleId="Footer">
    <w:name w:val="Footer"/>
    <w:basedOn w:val="Normal"/>
    <w:link w:val="Style15"/>
    <w:uiPriority w:val="99"/>
    <w:rsid w:val="008b02a1"/>
    <w:pPr>
      <w:tabs>
        <w:tab w:val="clear" w:pos="709"/>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8"/>
    <w:qFormat/>
    <w:rsid w:val="00d36934"/>
    <w:pPr/>
    <w:rPr/>
  </w:style>
  <w:style w:type="paragraph" w:styleId="Annotationsubject">
    <w:name w:val="annotation subject"/>
    <w:basedOn w:val="Annotationtext"/>
    <w:next w:val="Annotationtext"/>
    <w:link w:val="Style9"/>
    <w:uiPriority w:val="99"/>
    <w:qFormat/>
    <w:rsid w:val="00d36934"/>
    <w:pPr/>
    <w:rPr>
      <w:b/>
      <w:bCs/>
      <w:lang w:val="x-none" w:eastAsia="x-none"/>
    </w:rPr>
  </w:style>
  <w:style w:type="paragraph" w:styleId="ListParagraph">
    <w:name w:val="List Paragraph"/>
    <w:basedOn w:val="Normal"/>
    <w:link w:val="Style16"/>
    <w:uiPriority w:val="34"/>
    <w:qFormat/>
    <w:rsid w:val="00ec6e7d"/>
    <w:pPr>
      <w:spacing w:before="0" w:after="0"/>
      <w:ind w:left="720" w:hanging="0"/>
      <w:contextualSpacing/>
    </w:pPr>
    <w:rPr/>
  </w:style>
  <w:style w:type="paragraph" w:styleId="Style22"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3" w:customStyle="1">
    <w:name w:val="Подпункт договора"/>
    <w:basedOn w:val="Normal"/>
    <w:qFormat/>
    <w:rsid w:val="00d31bfd"/>
    <w:pPr>
      <w:widowControl/>
      <w:tabs>
        <w:tab w:val="clear" w:pos="709"/>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odyTextIndent">
    <w:name w:val="Body Text Indent"/>
    <w:basedOn w:val="Normal"/>
    <w:link w:val="Style10"/>
    <w:rsid w:val="00e00bca"/>
    <w:pPr>
      <w:spacing w:before="0" w:after="120"/>
      <w:ind w:left="283" w:hanging="0"/>
    </w:pPr>
    <w:rPr/>
  </w:style>
  <w:style w:type="paragraph" w:styleId="Style24"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2"/>
    <w:uiPriority w:val="99"/>
    <w:rsid w:val="00f47c6a"/>
    <w:pPr/>
    <w:rPr/>
  </w:style>
  <w:style w:type="paragraph" w:styleId="ListBullet3">
    <w:name w:val="List Bullet 3"/>
    <w:basedOn w:val="Normal"/>
    <w:uiPriority w:val="99"/>
    <w:unhideWhenUsed/>
    <w:qFormat/>
    <w:rsid w:val="00fa3bf9"/>
    <w:pPr>
      <w:widowControl/>
      <w:tabs>
        <w:tab w:val="clear" w:pos="709"/>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9"/>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4"/>
    <w:uiPriority w:val="99"/>
    <w:rsid w:val="000449a5"/>
    <w:pPr>
      <w:tabs>
        <w:tab w:val="clear" w:pos="709"/>
        <w:tab w:val="center" w:pos="4677" w:leader="none"/>
        <w:tab w:val="right" w:pos="9355" w:leader="none"/>
      </w:tabs>
    </w:pPr>
    <w:rPr/>
  </w:style>
  <w:style w:type="paragraph" w:styleId="Style25" w:customStyle="1">
    <w:name w:val="Пункт договора"/>
    <w:basedOn w:val="Normal"/>
    <w:qFormat/>
    <w:rsid w:val="00e65842"/>
    <w:pPr>
      <w:jc w:val="both"/>
    </w:pPr>
    <w:rPr>
      <w:rFonts w:ascii="Arial" w:hAnsi="Arial"/>
    </w:rPr>
  </w:style>
  <w:style w:type="paragraph" w:styleId="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1"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cs="Calibri" w:eastAsia="Times New Roman"/>
      <w:color w:val="auto"/>
      <w:kern w:val="0"/>
      <w:sz w:val="22"/>
      <w:szCs w:val="20"/>
      <w:lang w:val="ru-RU" w:eastAsia="ru-RU" w:bidi="ar-SA"/>
    </w:rPr>
  </w:style>
  <w:style w:type="paragraph" w:styleId="Default" w:customStyle="1">
    <w:name w:val="Default"/>
    <w:qFormat/>
    <w:rsid w:val="00163467"/>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Сетка таблицы1"/>
    <w:basedOn w:val="a1"/>
    <w:uiPriority w:val="39"/>
    <w:rsid w:val="0042219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header" Target="header4.xml"/><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footer" Target="footer5.xml"/><Relationship Id="rId16" Type="http://schemas.openxmlformats.org/officeDocument/2006/relationships/footer" Target="footer6.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D591CA5A-FCE4-4C85-99F4-8FF7FC10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Application>AlterOffice/3.4.0.9$Linux_X86_64 LibreOffice_project/b8daf9e823b1a5463a2f48435ddc2e8696e7d4fc</Application>
  <AppVersion>15.0000</AppVersion>
  <Pages>22</Pages>
  <Words>7206</Words>
  <Characters>51425</Characters>
  <CharactersWithSpaces>58441</CharactersWithSpaces>
  <Paragraphs>364</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2024-04-03T13:12:00Z</dcterms:created>
  <dc:creator>tsypilev_ag</dc:creator>
  <dc:description/>
  <dc:language>ru-RU</dc:language>
  <cp:lastModifiedBy>zubovaov@corp.gidroogk.com</cp:lastModifiedBy>
  <cp:lastPrinted>2018-05-22T09:46:00Z</cp:lastPrinted>
  <dcterms:modified xsi:type="dcterms:W3CDTF">2026-05-08T09:23:35Z</dcterms:modified>
  <cp:revision>89</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